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F7" w:rsidRPr="00BC5F1C" w:rsidRDefault="00BC5F1C">
      <w:pPr>
        <w:rPr>
          <w:rFonts w:ascii="Times New Roman" w:hAnsi="Times New Roman" w:cs="Times New Roman"/>
          <w:b/>
        </w:rPr>
      </w:pPr>
      <w:r w:rsidRPr="00BC5F1C">
        <w:rPr>
          <w:rFonts w:ascii="Times New Roman" w:hAnsi="Times New Roman" w:cs="Times New Roman"/>
          <w:b/>
        </w:rPr>
        <w:t>Priemonės „</w:t>
      </w:r>
      <w:r w:rsidR="004C32B5">
        <w:rPr>
          <w:rFonts w:ascii="Times New Roman" w:hAnsi="Times New Roman" w:cs="Times New Roman"/>
          <w:b/>
        </w:rPr>
        <w:t>Portfelinės garantijos faktoringo sandoriams 2“</w:t>
      </w:r>
      <w:r w:rsidRPr="00BC5F1C">
        <w:rPr>
          <w:rFonts w:ascii="Times New Roman" w:hAnsi="Times New Roman" w:cs="Times New Roman"/>
          <w:b/>
        </w:rPr>
        <w:t xml:space="preserve"> (2020 03 </w:t>
      </w:r>
      <w:r w:rsidR="004C32B5">
        <w:rPr>
          <w:rFonts w:ascii="Times New Roman" w:hAnsi="Times New Roman" w:cs="Times New Roman"/>
          <w:b/>
        </w:rPr>
        <w:t>30</w:t>
      </w:r>
      <w:r w:rsidRPr="00BC5F1C">
        <w:rPr>
          <w:rFonts w:ascii="Times New Roman" w:hAnsi="Times New Roman" w:cs="Times New Roman"/>
          <w:b/>
        </w:rPr>
        <w:t>)</w:t>
      </w:r>
    </w:p>
    <w:tbl>
      <w:tblPr>
        <w:tblStyle w:val="TableGrid"/>
        <w:tblpPr w:leftFromText="180" w:rightFromText="180" w:vertAnchor="text" w:horzAnchor="margin" w:tblpX="-289" w:tblpY="174"/>
        <w:tblW w:w="14737" w:type="dxa"/>
        <w:tblLayout w:type="fixed"/>
        <w:tblLook w:val="04A0" w:firstRow="1" w:lastRow="0" w:firstColumn="1" w:lastColumn="0" w:noHBand="0" w:noVBand="1"/>
      </w:tblPr>
      <w:tblGrid>
        <w:gridCol w:w="562"/>
        <w:gridCol w:w="4536"/>
        <w:gridCol w:w="4819"/>
        <w:gridCol w:w="4820"/>
      </w:tblGrid>
      <w:tr w:rsidR="004C32B5" w:rsidRPr="00BC5F1C" w:rsidTr="00422CE1">
        <w:trPr>
          <w:trHeight w:val="557"/>
        </w:trPr>
        <w:tc>
          <w:tcPr>
            <w:tcW w:w="562" w:type="dxa"/>
          </w:tcPr>
          <w:p w:rsidR="004C32B5" w:rsidRPr="00BC5F1C" w:rsidRDefault="004C32B5" w:rsidP="001453EC">
            <w:pPr>
              <w:rPr>
                <w:rFonts w:ascii="Times New Roman" w:hAnsi="Times New Roman" w:cs="Times New Roman"/>
                <w:b/>
                <w:sz w:val="18"/>
                <w:szCs w:val="18"/>
              </w:rPr>
            </w:pPr>
            <w:r w:rsidRPr="00BC5F1C">
              <w:rPr>
                <w:rFonts w:ascii="Times New Roman" w:hAnsi="Times New Roman" w:cs="Times New Roman"/>
                <w:b/>
                <w:sz w:val="18"/>
                <w:szCs w:val="18"/>
              </w:rPr>
              <w:t>Nr.</w:t>
            </w:r>
          </w:p>
        </w:tc>
        <w:tc>
          <w:tcPr>
            <w:tcW w:w="4536" w:type="dxa"/>
          </w:tcPr>
          <w:p w:rsidR="004C32B5" w:rsidRPr="00BC5F1C" w:rsidRDefault="004C32B5" w:rsidP="001453EC">
            <w:pPr>
              <w:rPr>
                <w:rFonts w:ascii="Times New Roman" w:hAnsi="Times New Roman" w:cs="Times New Roman"/>
                <w:b/>
                <w:sz w:val="18"/>
                <w:szCs w:val="18"/>
              </w:rPr>
            </w:pPr>
            <w:r w:rsidRPr="00BC5F1C">
              <w:rPr>
                <w:rFonts w:ascii="Times New Roman" w:hAnsi="Times New Roman" w:cs="Times New Roman"/>
                <w:b/>
                <w:sz w:val="18"/>
                <w:szCs w:val="18"/>
              </w:rPr>
              <w:t>Priemonės sąlyga</w:t>
            </w:r>
          </w:p>
        </w:tc>
        <w:tc>
          <w:tcPr>
            <w:tcW w:w="4819" w:type="dxa"/>
          </w:tcPr>
          <w:p w:rsidR="004C32B5" w:rsidRPr="00BC5F1C" w:rsidRDefault="004C32B5" w:rsidP="001453EC">
            <w:pPr>
              <w:rPr>
                <w:rFonts w:ascii="Times New Roman" w:hAnsi="Times New Roman" w:cs="Times New Roman"/>
                <w:b/>
                <w:sz w:val="18"/>
                <w:szCs w:val="18"/>
              </w:rPr>
            </w:pPr>
            <w:r w:rsidRPr="00BC5F1C">
              <w:rPr>
                <w:rFonts w:ascii="Times New Roman" w:hAnsi="Times New Roman" w:cs="Times New Roman"/>
                <w:b/>
                <w:sz w:val="18"/>
                <w:szCs w:val="18"/>
              </w:rPr>
              <w:t>Pastaba/siūlymas</w:t>
            </w:r>
          </w:p>
        </w:tc>
        <w:tc>
          <w:tcPr>
            <w:tcW w:w="4820" w:type="dxa"/>
          </w:tcPr>
          <w:p w:rsidR="004C32B5" w:rsidRPr="00BC5F1C" w:rsidRDefault="004C32B5" w:rsidP="004C32B5">
            <w:pPr>
              <w:rPr>
                <w:rFonts w:ascii="Times New Roman" w:hAnsi="Times New Roman" w:cs="Times New Roman"/>
                <w:b/>
                <w:sz w:val="18"/>
                <w:szCs w:val="18"/>
              </w:rPr>
            </w:pPr>
            <w:r>
              <w:rPr>
                <w:rFonts w:ascii="Times New Roman" w:hAnsi="Times New Roman" w:cs="Times New Roman"/>
                <w:b/>
                <w:sz w:val="18"/>
                <w:szCs w:val="18"/>
              </w:rPr>
              <w:t>A</w:t>
            </w:r>
            <w:r w:rsidRPr="00BC5F1C">
              <w:rPr>
                <w:rFonts w:ascii="Times New Roman" w:hAnsi="Times New Roman" w:cs="Times New Roman"/>
                <w:b/>
                <w:sz w:val="18"/>
                <w:szCs w:val="18"/>
              </w:rPr>
              <w:t>tsakymas</w:t>
            </w:r>
          </w:p>
        </w:tc>
      </w:tr>
      <w:tr w:rsidR="004C32B5" w:rsidRPr="00BC5F1C" w:rsidTr="00422CE1">
        <w:tc>
          <w:tcPr>
            <w:tcW w:w="562" w:type="dxa"/>
          </w:tcPr>
          <w:p w:rsidR="004C32B5" w:rsidRPr="00BC5F1C" w:rsidRDefault="004C32B5" w:rsidP="002861EB">
            <w:pPr>
              <w:jc w:val="both"/>
              <w:rPr>
                <w:rFonts w:ascii="Times New Roman" w:hAnsi="Times New Roman" w:cs="Times New Roman"/>
                <w:sz w:val="18"/>
                <w:szCs w:val="18"/>
              </w:rPr>
            </w:pPr>
            <w:r>
              <w:rPr>
                <w:rFonts w:ascii="Times New Roman" w:hAnsi="Times New Roman" w:cs="Times New Roman"/>
                <w:sz w:val="18"/>
                <w:szCs w:val="18"/>
              </w:rPr>
              <w:t>1.</w:t>
            </w:r>
          </w:p>
        </w:tc>
        <w:tc>
          <w:tcPr>
            <w:tcW w:w="4536" w:type="dxa"/>
          </w:tcPr>
          <w:p w:rsidR="004C32B5" w:rsidRPr="00475D0C" w:rsidRDefault="004C32B5" w:rsidP="002861EB">
            <w:pPr>
              <w:jc w:val="both"/>
              <w:rPr>
                <w:rFonts w:ascii="Times New Roman" w:hAnsi="Times New Roman" w:cs="Times New Roman"/>
                <w:b/>
                <w:sz w:val="18"/>
                <w:szCs w:val="18"/>
              </w:rPr>
            </w:pPr>
            <w:r w:rsidRPr="00475D0C">
              <w:rPr>
                <w:rFonts w:ascii="Times New Roman" w:hAnsi="Times New Roman" w:cs="Times New Roman"/>
                <w:b/>
                <w:sz w:val="18"/>
                <w:szCs w:val="18"/>
              </w:rPr>
              <w:t>PGF2 priemonės lėšos</w:t>
            </w:r>
          </w:p>
          <w:p w:rsidR="004C32B5" w:rsidRPr="00BC5F1C" w:rsidRDefault="004C32B5" w:rsidP="002861EB">
            <w:pPr>
              <w:jc w:val="both"/>
              <w:rPr>
                <w:rFonts w:ascii="Times New Roman" w:hAnsi="Times New Roman" w:cs="Times New Roman"/>
                <w:sz w:val="18"/>
                <w:szCs w:val="18"/>
              </w:rPr>
            </w:pPr>
            <w:r w:rsidRPr="00475D0C">
              <w:rPr>
                <w:rFonts w:ascii="Times New Roman" w:hAnsi="Times New Roman" w:cs="Times New Roman"/>
                <w:sz w:val="18"/>
                <w:szCs w:val="18"/>
              </w:rPr>
              <w:t xml:space="preserve">PGF2 priemonei įgyvendinti numatyta skirti 10 mln. </w:t>
            </w:r>
            <w:proofErr w:type="spellStart"/>
            <w:r w:rsidRPr="00475D0C">
              <w:rPr>
                <w:rFonts w:ascii="Times New Roman" w:hAnsi="Times New Roman" w:cs="Times New Roman"/>
                <w:sz w:val="18"/>
                <w:szCs w:val="18"/>
              </w:rPr>
              <w:t>Eur</w:t>
            </w:r>
            <w:proofErr w:type="spellEnd"/>
            <w:r w:rsidRPr="00475D0C">
              <w:rPr>
                <w:rFonts w:ascii="Times New Roman" w:hAnsi="Times New Roman" w:cs="Times New Roman"/>
                <w:sz w:val="18"/>
                <w:szCs w:val="18"/>
              </w:rPr>
              <w:t xml:space="preserve"> sumą INVEGOS  fondo grįžusių ir (ar) grįšiančių lėšų. Pasikeitus rinkos poreikiams PGF2 priemonei skirta lėšų suma gali būti didinama arba mažinama</w:t>
            </w:r>
          </w:p>
        </w:tc>
        <w:tc>
          <w:tcPr>
            <w:tcW w:w="4819" w:type="dxa"/>
          </w:tcPr>
          <w:p w:rsidR="004C32B5" w:rsidRPr="00BC5F1C" w:rsidRDefault="004C32B5" w:rsidP="002861EB">
            <w:pPr>
              <w:jc w:val="both"/>
              <w:rPr>
                <w:rFonts w:ascii="Times New Roman" w:hAnsi="Times New Roman" w:cs="Times New Roman"/>
                <w:sz w:val="18"/>
                <w:szCs w:val="18"/>
              </w:rPr>
            </w:pPr>
            <w:r w:rsidRPr="0066528B">
              <w:rPr>
                <w:rFonts w:ascii="Times New Roman" w:hAnsi="Times New Roman" w:cs="Times New Roman"/>
                <w:sz w:val="18"/>
                <w:szCs w:val="18"/>
              </w:rPr>
              <w:t>Patikslinkite, kokia maksimali faktoringo sandorių portfelio suma galės būti įtraukta pagal priemonę? Skiriasi informacija pateikta priemonių sąlygų 4 ir 5 dalyse</w:t>
            </w:r>
          </w:p>
        </w:tc>
        <w:tc>
          <w:tcPr>
            <w:tcW w:w="4820" w:type="dxa"/>
          </w:tcPr>
          <w:p w:rsidR="004C32B5" w:rsidRDefault="004C32B5" w:rsidP="00080D5D">
            <w:pPr>
              <w:jc w:val="both"/>
              <w:rPr>
                <w:rFonts w:ascii="Times New Roman" w:hAnsi="Times New Roman" w:cs="Times New Roman"/>
                <w:sz w:val="18"/>
                <w:szCs w:val="18"/>
              </w:rPr>
            </w:pPr>
            <w:r>
              <w:rPr>
                <w:rFonts w:ascii="Times New Roman" w:hAnsi="Times New Roman" w:cs="Times New Roman"/>
                <w:sz w:val="18"/>
                <w:szCs w:val="18"/>
              </w:rPr>
              <w:t xml:space="preserve">PGF2 priemonės sąlygų 4 dalyje pateiktas portfelinės garantijos veikimo pavyzdys – hipotetinis vieno finansų tarpininko portfelis. </w:t>
            </w:r>
          </w:p>
          <w:p w:rsidR="004C32B5" w:rsidRPr="00BC5F1C" w:rsidRDefault="004C32B5" w:rsidP="00080D5D">
            <w:pPr>
              <w:jc w:val="both"/>
              <w:rPr>
                <w:rFonts w:ascii="Times New Roman" w:hAnsi="Times New Roman" w:cs="Times New Roman"/>
                <w:sz w:val="18"/>
                <w:szCs w:val="18"/>
              </w:rPr>
            </w:pPr>
            <w:r>
              <w:rPr>
                <w:rFonts w:ascii="Times New Roman" w:hAnsi="Times New Roman" w:cs="Times New Roman"/>
                <w:sz w:val="18"/>
                <w:szCs w:val="18"/>
              </w:rPr>
              <w:t>PGF2 priemonės sąlygų 5 dalyje pateikiama planuojama PGF2 priemonei (</w:t>
            </w:r>
            <w:proofErr w:type="spellStart"/>
            <w:r>
              <w:rPr>
                <w:rFonts w:ascii="Times New Roman" w:hAnsi="Times New Roman" w:cs="Times New Roman"/>
                <w:sz w:val="18"/>
                <w:szCs w:val="18"/>
              </w:rPr>
              <w:t>Cap‘o</w:t>
            </w:r>
            <w:proofErr w:type="spellEnd"/>
            <w:r>
              <w:rPr>
                <w:rFonts w:ascii="Times New Roman" w:hAnsi="Times New Roman" w:cs="Times New Roman"/>
                <w:sz w:val="18"/>
                <w:szCs w:val="18"/>
              </w:rPr>
              <w:t xml:space="preserve"> formavimui) skirti lėšų suma. </w:t>
            </w:r>
          </w:p>
        </w:tc>
      </w:tr>
      <w:tr w:rsidR="004C32B5" w:rsidRPr="00BC5F1C" w:rsidTr="00422CE1">
        <w:tc>
          <w:tcPr>
            <w:tcW w:w="562" w:type="dxa"/>
          </w:tcPr>
          <w:p w:rsidR="004C32B5" w:rsidRPr="00BC5F1C" w:rsidRDefault="004C32B5" w:rsidP="002861EB">
            <w:pPr>
              <w:jc w:val="both"/>
              <w:rPr>
                <w:rFonts w:ascii="Times New Roman" w:hAnsi="Times New Roman" w:cs="Times New Roman"/>
                <w:sz w:val="18"/>
                <w:szCs w:val="18"/>
              </w:rPr>
            </w:pPr>
            <w:r>
              <w:rPr>
                <w:rFonts w:ascii="Times New Roman" w:hAnsi="Times New Roman" w:cs="Times New Roman"/>
                <w:sz w:val="18"/>
                <w:szCs w:val="18"/>
              </w:rPr>
              <w:t>2.</w:t>
            </w:r>
          </w:p>
        </w:tc>
        <w:tc>
          <w:tcPr>
            <w:tcW w:w="4536" w:type="dxa"/>
          </w:tcPr>
          <w:p w:rsidR="004C32B5" w:rsidRPr="0066528B" w:rsidRDefault="004C32B5" w:rsidP="002861EB">
            <w:pPr>
              <w:jc w:val="both"/>
              <w:rPr>
                <w:rFonts w:ascii="Times New Roman" w:hAnsi="Times New Roman" w:cs="Times New Roman"/>
                <w:b/>
                <w:sz w:val="18"/>
                <w:szCs w:val="18"/>
              </w:rPr>
            </w:pPr>
            <w:r w:rsidRPr="0066528B">
              <w:rPr>
                <w:rFonts w:ascii="Times New Roman" w:hAnsi="Times New Roman" w:cs="Times New Roman"/>
                <w:b/>
                <w:sz w:val="18"/>
                <w:szCs w:val="18"/>
              </w:rPr>
              <w:t>Garantijos dydis</w:t>
            </w:r>
          </w:p>
          <w:p w:rsidR="004C32B5" w:rsidRPr="00BC5F1C" w:rsidRDefault="004C32B5" w:rsidP="002861EB">
            <w:pPr>
              <w:jc w:val="both"/>
              <w:rPr>
                <w:rFonts w:ascii="Times New Roman" w:hAnsi="Times New Roman" w:cs="Times New Roman"/>
                <w:sz w:val="18"/>
                <w:szCs w:val="18"/>
              </w:rPr>
            </w:pPr>
            <w:r w:rsidRPr="0066528B">
              <w:rPr>
                <w:rFonts w:ascii="Times New Roman" w:hAnsi="Times New Roman" w:cs="Times New Roman"/>
                <w:sz w:val="18"/>
                <w:szCs w:val="18"/>
              </w:rPr>
              <w:t>80 proc.</w:t>
            </w:r>
          </w:p>
        </w:tc>
        <w:tc>
          <w:tcPr>
            <w:tcW w:w="4819" w:type="dxa"/>
          </w:tcPr>
          <w:p w:rsidR="004C32B5" w:rsidRPr="00BC5F1C" w:rsidRDefault="004C32B5" w:rsidP="0066528B">
            <w:pPr>
              <w:jc w:val="both"/>
              <w:rPr>
                <w:rFonts w:ascii="Times New Roman" w:hAnsi="Times New Roman" w:cs="Times New Roman"/>
                <w:sz w:val="18"/>
                <w:szCs w:val="18"/>
              </w:rPr>
            </w:pPr>
            <w:r w:rsidRPr="0066528B">
              <w:rPr>
                <w:rFonts w:ascii="Times New Roman" w:hAnsi="Times New Roman" w:cs="Times New Roman"/>
                <w:sz w:val="18"/>
                <w:szCs w:val="18"/>
              </w:rPr>
              <w:t>Atsižvelgiant į rinkos situaciją ir klientų teikiamus atsiliepimus, siūlome didinti garantijos dydį iki 100 proc. ir apsvarstyti regreso netaikymo klientams galimybes.</w:t>
            </w:r>
          </w:p>
        </w:tc>
        <w:tc>
          <w:tcPr>
            <w:tcW w:w="4820" w:type="dxa"/>
          </w:tcPr>
          <w:p w:rsidR="004C32B5" w:rsidRDefault="004C32B5" w:rsidP="001106B6">
            <w:pPr>
              <w:jc w:val="both"/>
              <w:rPr>
                <w:rFonts w:ascii="Times New Roman" w:hAnsi="Times New Roman" w:cs="Times New Roman"/>
                <w:sz w:val="18"/>
                <w:szCs w:val="18"/>
              </w:rPr>
            </w:pPr>
            <w:r>
              <w:rPr>
                <w:rFonts w:ascii="Times New Roman" w:hAnsi="Times New Roman" w:cs="Times New Roman"/>
                <w:sz w:val="18"/>
                <w:szCs w:val="18"/>
              </w:rPr>
              <w:t>Neatsižvelgta</w:t>
            </w:r>
          </w:p>
          <w:p w:rsidR="004C32B5" w:rsidRDefault="004C32B5" w:rsidP="001106B6">
            <w:pPr>
              <w:jc w:val="both"/>
              <w:rPr>
                <w:rFonts w:ascii="Times New Roman" w:hAnsi="Times New Roman" w:cs="Times New Roman"/>
                <w:sz w:val="18"/>
                <w:szCs w:val="18"/>
              </w:rPr>
            </w:pPr>
          </w:p>
          <w:p w:rsidR="004C32B5" w:rsidRDefault="004C32B5" w:rsidP="001106B6">
            <w:pPr>
              <w:jc w:val="both"/>
              <w:rPr>
                <w:rFonts w:ascii="Times New Roman" w:hAnsi="Times New Roman" w:cs="Times New Roman"/>
                <w:sz w:val="18"/>
                <w:szCs w:val="18"/>
              </w:rPr>
            </w:pPr>
            <w:r>
              <w:rPr>
                <w:rFonts w:ascii="Times New Roman" w:hAnsi="Times New Roman" w:cs="Times New Roman"/>
                <w:sz w:val="18"/>
                <w:szCs w:val="18"/>
              </w:rPr>
              <w:t xml:space="preserve">PGF2 priemonė bus įgyvendinama pagal </w:t>
            </w:r>
            <w:r>
              <w:t xml:space="preserve"> </w:t>
            </w:r>
            <w:r w:rsidRPr="0043272B">
              <w:rPr>
                <w:rFonts w:ascii="Times New Roman" w:hAnsi="Times New Roman" w:cs="Times New Roman"/>
                <w:i/>
                <w:sz w:val="18"/>
                <w:szCs w:val="18"/>
              </w:rPr>
              <w:t xml:space="preserve">De </w:t>
            </w:r>
            <w:proofErr w:type="spellStart"/>
            <w:r w:rsidRPr="0043272B">
              <w:rPr>
                <w:rFonts w:ascii="Times New Roman" w:hAnsi="Times New Roman" w:cs="Times New Roman"/>
                <w:i/>
                <w:sz w:val="18"/>
                <w:szCs w:val="18"/>
              </w:rPr>
              <w:t>minimis</w:t>
            </w:r>
            <w:proofErr w:type="spellEnd"/>
            <w:r>
              <w:rPr>
                <w:rFonts w:ascii="Times New Roman" w:hAnsi="Times New Roman" w:cs="Times New Roman"/>
                <w:sz w:val="18"/>
                <w:szCs w:val="18"/>
              </w:rPr>
              <w:t xml:space="preserve"> </w:t>
            </w:r>
            <w:r w:rsidRPr="0043272B">
              <w:rPr>
                <w:rFonts w:ascii="Times New Roman" w:hAnsi="Times New Roman" w:cs="Times New Roman"/>
                <w:sz w:val="18"/>
                <w:szCs w:val="18"/>
              </w:rPr>
              <w:t>Reglament</w:t>
            </w:r>
            <w:r>
              <w:rPr>
                <w:rFonts w:ascii="Times New Roman" w:hAnsi="Times New Roman" w:cs="Times New Roman"/>
                <w:sz w:val="18"/>
                <w:szCs w:val="18"/>
              </w:rPr>
              <w:t>o</w:t>
            </w:r>
            <w:r w:rsidRPr="0043272B">
              <w:rPr>
                <w:rFonts w:ascii="Times New Roman" w:hAnsi="Times New Roman" w:cs="Times New Roman"/>
                <w:sz w:val="18"/>
                <w:szCs w:val="18"/>
              </w:rPr>
              <w:t xml:space="preserve"> (ES) Nr. 1407/2013 nuostatas</w:t>
            </w:r>
            <w:r>
              <w:rPr>
                <w:rFonts w:ascii="Times New Roman" w:hAnsi="Times New Roman" w:cs="Times New Roman"/>
                <w:sz w:val="18"/>
                <w:szCs w:val="18"/>
              </w:rPr>
              <w:t>, kuriose numatyta maksimali garantija yra 80 proc.</w:t>
            </w:r>
          </w:p>
          <w:p w:rsidR="004C32B5" w:rsidRDefault="004C32B5" w:rsidP="001106B6">
            <w:pPr>
              <w:jc w:val="both"/>
              <w:rPr>
                <w:rFonts w:ascii="Times New Roman" w:hAnsi="Times New Roman" w:cs="Times New Roman"/>
                <w:sz w:val="18"/>
                <w:szCs w:val="18"/>
              </w:rPr>
            </w:pPr>
            <w:r>
              <w:rPr>
                <w:rFonts w:ascii="Times New Roman" w:hAnsi="Times New Roman" w:cs="Times New Roman"/>
                <w:sz w:val="18"/>
                <w:szCs w:val="18"/>
              </w:rPr>
              <w:t xml:space="preserve">Deja </w:t>
            </w:r>
            <w:r w:rsidRPr="0043272B">
              <w:rPr>
                <w:rFonts w:ascii="Times New Roman" w:hAnsi="Times New Roman" w:cs="Times New Roman"/>
                <w:sz w:val="18"/>
                <w:szCs w:val="18"/>
              </w:rPr>
              <w:t>2020 m. kovo 19</w:t>
            </w:r>
            <w:r>
              <w:rPr>
                <w:rFonts w:ascii="Times New Roman" w:hAnsi="Times New Roman" w:cs="Times New Roman"/>
                <w:sz w:val="18"/>
                <w:szCs w:val="18"/>
              </w:rPr>
              <w:t xml:space="preserve"> d. Europos Komisijos komunikatas</w:t>
            </w:r>
            <w:r w:rsidRPr="0043272B">
              <w:rPr>
                <w:rFonts w:ascii="Times New Roman" w:hAnsi="Times New Roman" w:cs="Times New Roman"/>
                <w:sz w:val="18"/>
                <w:szCs w:val="18"/>
              </w:rPr>
              <w:t xml:space="preserve"> dėl Laikinosios valstybės pagalbos priemonių, skirtų ekonomikai remti reaguojant į dabartinį COVID-19 protrūkį, </w:t>
            </w:r>
            <w:r>
              <w:rPr>
                <w:rFonts w:ascii="Times New Roman" w:hAnsi="Times New Roman" w:cs="Times New Roman"/>
                <w:sz w:val="18"/>
                <w:szCs w:val="18"/>
              </w:rPr>
              <w:t>kuris numato didesnį galimą garantijos intensyvumą, negali būti naudojamas faktoringo sandoriams.</w:t>
            </w:r>
          </w:p>
          <w:p w:rsidR="004C32B5" w:rsidRPr="00BC5F1C" w:rsidRDefault="004C32B5" w:rsidP="009001BB">
            <w:pPr>
              <w:jc w:val="both"/>
              <w:rPr>
                <w:rFonts w:ascii="Times New Roman" w:hAnsi="Times New Roman" w:cs="Times New Roman"/>
                <w:sz w:val="18"/>
                <w:szCs w:val="18"/>
              </w:rPr>
            </w:pPr>
            <w:r>
              <w:rPr>
                <w:rFonts w:ascii="Times New Roman" w:hAnsi="Times New Roman" w:cs="Times New Roman"/>
                <w:sz w:val="18"/>
                <w:szCs w:val="18"/>
              </w:rPr>
              <w:t xml:space="preserve">Faktoringo sandoriams netaikant regreso, būtų formuojamas per daug rizikingas portfelis, kadangi finansų tarpininkas ne visada pirkėjus vertina laikantis tų pačių kredito rizikos vertinimo reikalavimų, kokie taikomi vertinant klientą, o ir ne visada turi galimybes gauti išsamią, vertinimui reikalingą informaciją apie pirkėją. </w:t>
            </w:r>
          </w:p>
        </w:tc>
      </w:tr>
      <w:tr w:rsidR="004C32B5" w:rsidRPr="00BC5F1C" w:rsidTr="00422CE1">
        <w:tc>
          <w:tcPr>
            <w:tcW w:w="562" w:type="dxa"/>
          </w:tcPr>
          <w:p w:rsidR="004C32B5" w:rsidRPr="00BC5F1C" w:rsidRDefault="004C32B5" w:rsidP="002861EB">
            <w:pPr>
              <w:jc w:val="both"/>
              <w:rPr>
                <w:rFonts w:ascii="Times New Roman" w:hAnsi="Times New Roman" w:cs="Times New Roman"/>
                <w:sz w:val="18"/>
                <w:szCs w:val="18"/>
              </w:rPr>
            </w:pPr>
            <w:r>
              <w:rPr>
                <w:rFonts w:ascii="Times New Roman" w:hAnsi="Times New Roman" w:cs="Times New Roman"/>
                <w:sz w:val="18"/>
                <w:szCs w:val="18"/>
              </w:rPr>
              <w:t>3.</w:t>
            </w:r>
          </w:p>
        </w:tc>
        <w:tc>
          <w:tcPr>
            <w:tcW w:w="4536" w:type="dxa"/>
          </w:tcPr>
          <w:p w:rsidR="004C32B5" w:rsidRPr="009001BB" w:rsidRDefault="004C32B5" w:rsidP="009001BB">
            <w:pPr>
              <w:jc w:val="both"/>
              <w:rPr>
                <w:rFonts w:ascii="Times New Roman" w:hAnsi="Times New Roman" w:cs="Times New Roman"/>
                <w:b/>
                <w:sz w:val="18"/>
                <w:szCs w:val="18"/>
              </w:rPr>
            </w:pPr>
            <w:r w:rsidRPr="009001BB">
              <w:rPr>
                <w:rFonts w:ascii="Times New Roman" w:hAnsi="Times New Roman" w:cs="Times New Roman"/>
                <w:b/>
                <w:sz w:val="18"/>
                <w:szCs w:val="18"/>
              </w:rPr>
              <w:t>Garantijos mokestis</w:t>
            </w:r>
          </w:p>
          <w:p w:rsidR="004C32B5" w:rsidRPr="009001BB" w:rsidRDefault="004C32B5" w:rsidP="009001BB">
            <w:pPr>
              <w:jc w:val="both"/>
              <w:rPr>
                <w:rFonts w:ascii="Times New Roman" w:hAnsi="Times New Roman" w:cs="Times New Roman"/>
                <w:sz w:val="18"/>
                <w:szCs w:val="18"/>
              </w:rPr>
            </w:pPr>
            <w:r w:rsidRPr="009001BB">
              <w:rPr>
                <w:rFonts w:ascii="Times New Roman" w:hAnsi="Times New Roman" w:cs="Times New Roman"/>
                <w:sz w:val="18"/>
                <w:szCs w:val="18"/>
              </w:rPr>
              <w:t>Garantijos mokesčio suma apskaičiuojama naudojant formulę:</w:t>
            </w:r>
          </w:p>
          <w:p w:rsidR="004C32B5" w:rsidRPr="009001BB" w:rsidRDefault="004C32B5" w:rsidP="009001BB">
            <w:pPr>
              <w:jc w:val="both"/>
              <w:rPr>
                <w:rFonts w:ascii="Times New Roman" w:hAnsi="Times New Roman" w:cs="Times New Roman"/>
                <w:sz w:val="18"/>
                <w:szCs w:val="18"/>
              </w:rPr>
            </w:pPr>
            <w:r w:rsidRPr="009001BB">
              <w:rPr>
                <w:rFonts w:ascii="Times New Roman" w:hAnsi="Times New Roman" w:cs="Times New Roman"/>
                <w:sz w:val="18"/>
                <w:szCs w:val="18"/>
              </w:rPr>
              <w:t xml:space="preserve">M = F x G x P x T, </w:t>
            </w:r>
          </w:p>
          <w:p w:rsidR="004C32B5" w:rsidRPr="009001BB" w:rsidRDefault="004C32B5" w:rsidP="009001BB">
            <w:pPr>
              <w:jc w:val="both"/>
              <w:rPr>
                <w:rFonts w:ascii="Times New Roman" w:hAnsi="Times New Roman" w:cs="Times New Roman"/>
                <w:sz w:val="18"/>
                <w:szCs w:val="18"/>
              </w:rPr>
            </w:pPr>
            <w:r w:rsidRPr="009001BB">
              <w:rPr>
                <w:rFonts w:ascii="Times New Roman" w:hAnsi="Times New Roman" w:cs="Times New Roman"/>
                <w:sz w:val="18"/>
                <w:szCs w:val="18"/>
              </w:rPr>
              <w:t>kur:</w:t>
            </w:r>
          </w:p>
          <w:p w:rsidR="004C32B5" w:rsidRPr="009001BB" w:rsidRDefault="004C32B5" w:rsidP="009001BB">
            <w:pPr>
              <w:jc w:val="both"/>
              <w:rPr>
                <w:rFonts w:ascii="Times New Roman" w:hAnsi="Times New Roman" w:cs="Times New Roman"/>
                <w:sz w:val="18"/>
                <w:szCs w:val="18"/>
              </w:rPr>
            </w:pPr>
            <w:r w:rsidRPr="009001BB">
              <w:rPr>
                <w:rFonts w:ascii="Times New Roman" w:hAnsi="Times New Roman" w:cs="Times New Roman"/>
                <w:sz w:val="18"/>
                <w:szCs w:val="18"/>
              </w:rPr>
              <w:t>M – garantijos mokesčio suma;</w:t>
            </w:r>
          </w:p>
          <w:p w:rsidR="004C32B5" w:rsidRPr="009001BB" w:rsidRDefault="004C32B5" w:rsidP="009001BB">
            <w:pPr>
              <w:jc w:val="both"/>
              <w:rPr>
                <w:rFonts w:ascii="Times New Roman" w:hAnsi="Times New Roman" w:cs="Times New Roman"/>
                <w:sz w:val="18"/>
                <w:szCs w:val="18"/>
              </w:rPr>
            </w:pPr>
            <w:r w:rsidRPr="009001BB">
              <w:rPr>
                <w:rFonts w:ascii="Times New Roman" w:hAnsi="Times New Roman" w:cs="Times New Roman"/>
                <w:sz w:val="18"/>
                <w:szCs w:val="18"/>
              </w:rPr>
              <w:t>F – Faktoringo limitas;</w:t>
            </w:r>
          </w:p>
          <w:p w:rsidR="004C32B5" w:rsidRPr="009001BB" w:rsidRDefault="004C32B5" w:rsidP="009001BB">
            <w:pPr>
              <w:jc w:val="both"/>
              <w:rPr>
                <w:rFonts w:ascii="Times New Roman" w:hAnsi="Times New Roman" w:cs="Times New Roman"/>
                <w:sz w:val="18"/>
                <w:szCs w:val="18"/>
              </w:rPr>
            </w:pPr>
            <w:r w:rsidRPr="009001BB">
              <w:rPr>
                <w:rFonts w:ascii="Times New Roman" w:hAnsi="Times New Roman" w:cs="Times New Roman"/>
                <w:sz w:val="18"/>
                <w:szCs w:val="18"/>
              </w:rPr>
              <w:t>G – Garantijos dydis (80 proc.);</w:t>
            </w:r>
          </w:p>
          <w:p w:rsidR="004C32B5" w:rsidRPr="009001BB" w:rsidRDefault="004C32B5" w:rsidP="009001BB">
            <w:pPr>
              <w:jc w:val="both"/>
              <w:rPr>
                <w:rFonts w:ascii="Times New Roman" w:hAnsi="Times New Roman" w:cs="Times New Roman"/>
                <w:sz w:val="18"/>
                <w:szCs w:val="18"/>
              </w:rPr>
            </w:pPr>
            <w:r w:rsidRPr="009001BB">
              <w:rPr>
                <w:rFonts w:ascii="Times New Roman" w:hAnsi="Times New Roman" w:cs="Times New Roman"/>
                <w:sz w:val="18"/>
                <w:szCs w:val="18"/>
              </w:rPr>
              <w:t>P – Garantijos mokesčio procentinis dydis (X proc.)</w:t>
            </w:r>
          </w:p>
          <w:p w:rsidR="004C32B5" w:rsidRDefault="004C32B5" w:rsidP="009001BB">
            <w:pPr>
              <w:jc w:val="both"/>
              <w:rPr>
                <w:rFonts w:ascii="Times New Roman" w:hAnsi="Times New Roman" w:cs="Times New Roman"/>
                <w:sz w:val="18"/>
                <w:szCs w:val="18"/>
              </w:rPr>
            </w:pPr>
            <w:r w:rsidRPr="009001BB">
              <w:rPr>
                <w:rFonts w:ascii="Times New Roman" w:hAnsi="Times New Roman" w:cs="Times New Roman"/>
                <w:sz w:val="18"/>
                <w:szCs w:val="18"/>
              </w:rPr>
              <w:t>T – Faktoringo sandorio finansavimo laikotarpio koeficientas (Y)</w:t>
            </w:r>
          </w:p>
          <w:p w:rsidR="004C32B5" w:rsidRDefault="004C32B5" w:rsidP="00080D5D">
            <w:pPr>
              <w:jc w:val="both"/>
              <w:rPr>
                <w:rFonts w:ascii="Times New Roman" w:hAnsi="Times New Roman" w:cs="Times New Roman"/>
                <w:sz w:val="18"/>
                <w:szCs w:val="18"/>
              </w:rPr>
            </w:pPr>
            <w:r w:rsidRPr="00080D5D">
              <w:rPr>
                <w:rFonts w:ascii="Times New Roman" w:hAnsi="Times New Roman" w:cs="Times New Roman"/>
                <w:b/>
                <w:sz w:val="18"/>
                <w:szCs w:val="18"/>
              </w:rPr>
              <w:t>Garantijos mokesčio procentinis dydis</w:t>
            </w:r>
          </w:p>
          <w:p w:rsidR="004C32B5" w:rsidRPr="00080D5D" w:rsidRDefault="004C32B5" w:rsidP="00080D5D">
            <w:pPr>
              <w:jc w:val="both"/>
              <w:rPr>
                <w:rFonts w:ascii="Times New Roman" w:hAnsi="Times New Roman" w:cs="Times New Roman"/>
                <w:sz w:val="18"/>
                <w:szCs w:val="18"/>
              </w:rPr>
            </w:pPr>
            <w:r w:rsidRPr="00080D5D">
              <w:rPr>
                <w:rFonts w:ascii="Times New Roman" w:hAnsi="Times New Roman" w:cs="Times New Roman"/>
                <w:sz w:val="18"/>
                <w:szCs w:val="18"/>
              </w:rPr>
              <w:t>1. 0,5 proc. Faktoringo sandoriams, kuriuose Maksimalūs mokėjimo atidėjimo visiems pirkėjams terminai yra ne ilgesni kaip 90 kalendorinių dienų;</w:t>
            </w:r>
          </w:p>
          <w:p w:rsidR="004C32B5" w:rsidRPr="00080D5D" w:rsidRDefault="004C32B5" w:rsidP="00080D5D">
            <w:pPr>
              <w:jc w:val="both"/>
              <w:rPr>
                <w:rFonts w:ascii="Times New Roman" w:hAnsi="Times New Roman" w:cs="Times New Roman"/>
                <w:sz w:val="18"/>
                <w:szCs w:val="18"/>
              </w:rPr>
            </w:pPr>
            <w:r w:rsidRPr="00080D5D">
              <w:rPr>
                <w:rFonts w:ascii="Times New Roman" w:hAnsi="Times New Roman" w:cs="Times New Roman"/>
                <w:sz w:val="18"/>
                <w:szCs w:val="18"/>
              </w:rPr>
              <w:t>2. 1 proc. Faktoringo sandoriams, kuriuose maksimalūs Mokėjimo atidėjimo pirkėjams terminai (arba bent vienas iš jų) yra ne trumpesni kaip 90 kalendorinių dienų ir ne ilgesni kaip 180 kalendorinių dienų</w:t>
            </w:r>
          </w:p>
          <w:p w:rsidR="004C32B5" w:rsidRDefault="004C32B5" w:rsidP="00080D5D">
            <w:pPr>
              <w:jc w:val="both"/>
              <w:rPr>
                <w:rFonts w:ascii="Times New Roman" w:hAnsi="Times New Roman" w:cs="Times New Roman"/>
                <w:b/>
                <w:sz w:val="18"/>
                <w:szCs w:val="18"/>
              </w:rPr>
            </w:pPr>
            <w:r w:rsidRPr="00080D5D">
              <w:rPr>
                <w:rFonts w:ascii="Times New Roman" w:hAnsi="Times New Roman" w:cs="Times New Roman"/>
                <w:b/>
                <w:sz w:val="18"/>
                <w:szCs w:val="18"/>
              </w:rPr>
              <w:t>Faktoringo sandorio finansavimo laikotarpio koeficientas</w:t>
            </w:r>
          </w:p>
          <w:p w:rsidR="004C32B5" w:rsidRPr="00080D5D" w:rsidRDefault="004C32B5" w:rsidP="00080D5D">
            <w:pPr>
              <w:jc w:val="both"/>
              <w:rPr>
                <w:rFonts w:ascii="Times New Roman" w:hAnsi="Times New Roman" w:cs="Times New Roman"/>
                <w:sz w:val="18"/>
                <w:szCs w:val="18"/>
              </w:rPr>
            </w:pPr>
            <w:r w:rsidRPr="00080D5D">
              <w:rPr>
                <w:rFonts w:ascii="Times New Roman" w:hAnsi="Times New Roman" w:cs="Times New Roman"/>
                <w:sz w:val="18"/>
                <w:szCs w:val="18"/>
              </w:rPr>
              <w:t>1. 1, kai Faktoringo sandorio finansavimo laikotarpis yra trumpesnis arba lygus 6 mėnesiams;</w:t>
            </w:r>
          </w:p>
          <w:p w:rsidR="004C32B5" w:rsidRPr="00BC5F1C" w:rsidRDefault="004C32B5" w:rsidP="00080D5D">
            <w:pPr>
              <w:jc w:val="both"/>
              <w:rPr>
                <w:rFonts w:ascii="Times New Roman" w:hAnsi="Times New Roman" w:cs="Times New Roman"/>
                <w:sz w:val="18"/>
                <w:szCs w:val="18"/>
              </w:rPr>
            </w:pPr>
            <w:r w:rsidRPr="00080D5D">
              <w:rPr>
                <w:rFonts w:ascii="Times New Roman" w:hAnsi="Times New Roman" w:cs="Times New Roman"/>
                <w:sz w:val="18"/>
                <w:szCs w:val="18"/>
              </w:rPr>
              <w:t>2. 1,6, kai Faktoringo sandorio finansavimo laikotarpis yra ilgesnis nei 6 mėnesiai, bet trumpesnis arba lygus 12 mėnesių</w:t>
            </w:r>
          </w:p>
        </w:tc>
        <w:tc>
          <w:tcPr>
            <w:tcW w:w="4819" w:type="dxa"/>
          </w:tcPr>
          <w:p w:rsidR="004C32B5" w:rsidRPr="00BC5F1C" w:rsidRDefault="004C32B5" w:rsidP="002861EB">
            <w:pPr>
              <w:jc w:val="both"/>
              <w:rPr>
                <w:rFonts w:ascii="Times New Roman" w:hAnsi="Times New Roman" w:cs="Times New Roman"/>
                <w:sz w:val="18"/>
                <w:szCs w:val="18"/>
              </w:rPr>
            </w:pPr>
            <w:r w:rsidRPr="0066528B">
              <w:rPr>
                <w:rFonts w:ascii="Times New Roman" w:hAnsi="Times New Roman" w:cs="Times New Roman"/>
                <w:sz w:val="18"/>
                <w:szCs w:val="18"/>
              </w:rPr>
              <w:t>Kodėl didėja garantijos mokestis lyginat su PGF priemone (sandoriams virš 6 mėn.)?</w:t>
            </w:r>
          </w:p>
        </w:tc>
        <w:tc>
          <w:tcPr>
            <w:tcW w:w="4820" w:type="dxa"/>
          </w:tcPr>
          <w:p w:rsidR="004C32B5" w:rsidRDefault="004C32B5" w:rsidP="002861EB">
            <w:pPr>
              <w:jc w:val="both"/>
              <w:rPr>
                <w:rFonts w:ascii="Times New Roman" w:hAnsi="Times New Roman" w:cs="Times New Roman"/>
                <w:sz w:val="18"/>
                <w:szCs w:val="18"/>
              </w:rPr>
            </w:pPr>
            <w:r>
              <w:rPr>
                <w:rFonts w:ascii="Times New Roman" w:hAnsi="Times New Roman" w:cs="Times New Roman"/>
                <w:sz w:val="18"/>
                <w:szCs w:val="18"/>
              </w:rPr>
              <w:t>Garantijos mokesčio dydis nustatytas atsižvelgiant į PGF2 priemonės administravimo kaštus ir prisiimamą riziką.</w:t>
            </w:r>
          </w:p>
          <w:p w:rsidR="004C32B5" w:rsidRPr="009001BB" w:rsidRDefault="004C32B5" w:rsidP="00FC10BC">
            <w:pPr>
              <w:jc w:val="both"/>
              <w:rPr>
                <w:rFonts w:ascii="Times New Roman" w:hAnsi="Times New Roman" w:cs="Times New Roman"/>
                <w:sz w:val="18"/>
                <w:szCs w:val="18"/>
              </w:rPr>
            </w:pPr>
            <w:r>
              <w:rPr>
                <w:rFonts w:ascii="Times New Roman" w:hAnsi="Times New Roman" w:cs="Times New Roman"/>
                <w:sz w:val="18"/>
                <w:szCs w:val="18"/>
              </w:rPr>
              <w:t xml:space="preserve">Kadangi </w:t>
            </w:r>
            <w:r w:rsidRPr="009001BB">
              <w:rPr>
                <w:rFonts w:ascii="Times New Roman" w:hAnsi="Times New Roman" w:cs="Times New Roman"/>
                <w:sz w:val="18"/>
                <w:szCs w:val="18"/>
              </w:rPr>
              <w:t>faktoringo sandoriai</w:t>
            </w:r>
            <w:r>
              <w:rPr>
                <w:rFonts w:ascii="Times New Roman" w:hAnsi="Times New Roman" w:cs="Times New Roman"/>
                <w:sz w:val="18"/>
                <w:szCs w:val="18"/>
              </w:rPr>
              <w:t xml:space="preserve"> sudaromi ir trumpesniam nei 12 mėn. laikotarpiui (pvz. 6 mėn., 9 mėn.), mokesčio dydis turėtų priklausyti ir nuo garantijos trukmės, todėl įvestas mokesčio diferencijavimas priklausomai nuo faktoringo sandorio trukmės. </w:t>
            </w:r>
          </w:p>
        </w:tc>
      </w:tr>
      <w:tr w:rsidR="004C32B5" w:rsidRPr="00BC5F1C" w:rsidTr="00422CE1">
        <w:tc>
          <w:tcPr>
            <w:tcW w:w="562"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4.</w:t>
            </w:r>
          </w:p>
        </w:tc>
        <w:tc>
          <w:tcPr>
            <w:tcW w:w="4536" w:type="dxa"/>
          </w:tcPr>
          <w:p w:rsidR="004C32B5" w:rsidRPr="00A47CDD" w:rsidRDefault="004C32B5" w:rsidP="00E64588">
            <w:pPr>
              <w:jc w:val="both"/>
              <w:rPr>
                <w:rFonts w:ascii="Times New Roman" w:hAnsi="Times New Roman" w:cs="Times New Roman"/>
                <w:b/>
                <w:sz w:val="18"/>
                <w:szCs w:val="18"/>
              </w:rPr>
            </w:pPr>
            <w:r>
              <w:rPr>
                <w:rFonts w:ascii="Times New Roman" w:hAnsi="Times New Roman" w:cs="Times New Roman"/>
                <w:b/>
                <w:sz w:val="18"/>
                <w:szCs w:val="18"/>
              </w:rPr>
              <w:t>-</w:t>
            </w:r>
          </w:p>
        </w:tc>
        <w:tc>
          <w:tcPr>
            <w:tcW w:w="4819" w:type="dxa"/>
          </w:tcPr>
          <w:p w:rsidR="004C32B5" w:rsidRPr="00A47CDD" w:rsidRDefault="004C32B5" w:rsidP="00E64588">
            <w:pPr>
              <w:jc w:val="both"/>
              <w:rPr>
                <w:rFonts w:ascii="Times New Roman" w:hAnsi="Times New Roman" w:cs="Times New Roman"/>
                <w:sz w:val="18"/>
                <w:szCs w:val="18"/>
              </w:rPr>
            </w:pPr>
            <w:r w:rsidRPr="0066528B">
              <w:rPr>
                <w:rFonts w:ascii="Times New Roman" w:hAnsi="Times New Roman" w:cs="Times New Roman"/>
                <w:sz w:val="18"/>
                <w:szCs w:val="18"/>
              </w:rPr>
              <w:t>Ar skirtumai tarp PGF2 ir PGF priemonių bus suvienodinti (pvz. Portfelio tinkamumo sąlygos)?</w:t>
            </w:r>
          </w:p>
        </w:tc>
        <w:tc>
          <w:tcPr>
            <w:tcW w:w="4820"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PGF priemonės sąlygų keisti neplanuojama. PGF priemonę finansų tarpininkai įgyvendina pagal pasirašytas PGF priemonės įgyvendinimo sutartis, kuriose numatyta galimybė kai kurias sąlygas keisti šalių susitarimu.</w:t>
            </w:r>
          </w:p>
          <w:p w:rsidR="004C32B5" w:rsidRPr="00BC5F1C" w:rsidRDefault="004C32B5" w:rsidP="00E64588">
            <w:pPr>
              <w:jc w:val="both"/>
              <w:rPr>
                <w:rFonts w:ascii="Times New Roman" w:hAnsi="Times New Roman" w:cs="Times New Roman"/>
                <w:sz w:val="18"/>
                <w:szCs w:val="18"/>
              </w:rPr>
            </w:pPr>
          </w:p>
        </w:tc>
      </w:tr>
      <w:tr w:rsidR="004C32B5" w:rsidRPr="00BC5F1C" w:rsidTr="00422CE1">
        <w:tc>
          <w:tcPr>
            <w:tcW w:w="562"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5.</w:t>
            </w:r>
          </w:p>
        </w:tc>
        <w:tc>
          <w:tcPr>
            <w:tcW w:w="4536" w:type="dxa"/>
          </w:tcPr>
          <w:p w:rsidR="004C32B5" w:rsidRPr="00A47CDD" w:rsidRDefault="004C32B5" w:rsidP="00E64588">
            <w:pPr>
              <w:jc w:val="both"/>
              <w:rPr>
                <w:rFonts w:ascii="Times New Roman" w:hAnsi="Times New Roman" w:cs="Times New Roman"/>
                <w:b/>
                <w:sz w:val="18"/>
                <w:szCs w:val="18"/>
              </w:rPr>
            </w:pPr>
          </w:p>
        </w:tc>
        <w:tc>
          <w:tcPr>
            <w:tcW w:w="4819" w:type="dxa"/>
          </w:tcPr>
          <w:p w:rsidR="004C32B5" w:rsidRPr="00A47CDD" w:rsidRDefault="004C32B5" w:rsidP="00575D8E">
            <w:pPr>
              <w:jc w:val="both"/>
              <w:rPr>
                <w:rFonts w:ascii="Times New Roman" w:hAnsi="Times New Roman" w:cs="Times New Roman"/>
                <w:sz w:val="18"/>
                <w:szCs w:val="18"/>
              </w:rPr>
            </w:pPr>
            <w:r w:rsidRPr="00E64588">
              <w:rPr>
                <w:rFonts w:ascii="Times New Roman" w:hAnsi="Times New Roman" w:cs="Times New Roman"/>
                <w:sz w:val="18"/>
                <w:szCs w:val="18"/>
              </w:rPr>
              <w:t xml:space="preserve">Siūlome suteikti faktoringą ir praterminuotoms sąskaitoms gal net esant neapibrėžtam šių sąskaitų apmokėjimo terminui, nes šiuo metu esant neapibrėžtai situacijai rinkoje sunku prognozuoti ar sąskaitos bus apmokamos laiku, ar jos bus praterminuotos. Ši priemonė labai </w:t>
            </w:r>
            <w:r>
              <w:rPr>
                <w:rFonts w:ascii="Times New Roman" w:hAnsi="Times New Roman" w:cs="Times New Roman"/>
                <w:sz w:val="18"/>
                <w:szCs w:val="18"/>
              </w:rPr>
              <w:t>pagelbė</w:t>
            </w:r>
            <w:r w:rsidRPr="00E64588">
              <w:rPr>
                <w:rFonts w:ascii="Times New Roman" w:hAnsi="Times New Roman" w:cs="Times New Roman"/>
                <w:sz w:val="18"/>
                <w:szCs w:val="18"/>
              </w:rPr>
              <w:t>t</w:t>
            </w:r>
            <w:r>
              <w:rPr>
                <w:rFonts w:ascii="Times New Roman" w:hAnsi="Times New Roman" w:cs="Times New Roman"/>
                <w:sz w:val="18"/>
                <w:szCs w:val="18"/>
              </w:rPr>
              <w:t>ų</w:t>
            </w:r>
            <w:r w:rsidRPr="00E64588">
              <w:rPr>
                <w:rFonts w:ascii="Times New Roman" w:hAnsi="Times New Roman" w:cs="Times New Roman"/>
                <w:sz w:val="18"/>
                <w:szCs w:val="18"/>
              </w:rPr>
              <w:t xml:space="preserve"> su sunkumais susiduriančioms įmonėms</w:t>
            </w:r>
          </w:p>
        </w:tc>
        <w:tc>
          <w:tcPr>
            <w:tcW w:w="4820"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Neatsižvelgta</w:t>
            </w:r>
          </w:p>
          <w:p w:rsidR="004C32B5" w:rsidRDefault="004C32B5" w:rsidP="00E64588">
            <w:pPr>
              <w:jc w:val="both"/>
              <w:rPr>
                <w:rFonts w:ascii="Times New Roman" w:hAnsi="Times New Roman" w:cs="Times New Roman"/>
                <w:sz w:val="18"/>
                <w:szCs w:val="18"/>
              </w:rPr>
            </w:pPr>
          </w:p>
          <w:p w:rsidR="004C32B5" w:rsidRPr="00BC5F1C" w:rsidRDefault="004C32B5" w:rsidP="00B04F35">
            <w:pPr>
              <w:jc w:val="both"/>
              <w:rPr>
                <w:rFonts w:ascii="Times New Roman" w:hAnsi="Times New Roman" w:cs="Times New Roman"/>
                <w:sz w:val="18"/>
                <w:szCs w:val="18"/>
              </w:rPr>
            </w:pPr>
            <w:r>
              <w:rPr>
                <w:rFonts w:ascii="Times New Roman" w:hAnsi="Times New Roman" w:cs="Times New Roman"/>
                <w:sz w:val="18"/>
                <w:szCs w:val="18"/>
              </w:rPr>
              <w:t>Faktoringas suprantamas kaip MVĮ</w:t>
            </w:r>
            <w:r w:rsidRPr="005163D4">
              <w:rPr>
                <w:rFonts w:ascii="Times New Roman" w:hAnsi="Times New Roman" w:cs="Times New Roman"/>
                <w:sz w:val="18"/>
                <w:szCs w:val="18"/>
              </w:rPr>
              <w:t xml:space="preserve"> trumpalaikis finansavimas, kai MVĮ perleidžia ar įsipareigoja perleisti </w:t>
            </w:r>
            <w:r>
              <w:rPr>
                <w:rFonts w:ascii="Times New Roman" w:hAnsi="Times New Roman" w:cs="Times New Roman"/>
                <w:sz w:val="18"/>
                <w:szCs w:val="18"/>
              </w:rPr>
              <w:t xml:space="preserve">faktoringo bendrovei </w:t>
            </w:r>
            <w:r w:rsidRPr="005163D4">
              <w:rPr>
                <w:rFonts w:ascii="Times New Roman" w:hAnsi="Times New Roman" w:cs="Times New Roman"/>
                <w:sz w:val="18"/>
                <w:szCs w:val="18"/>
              </w:rPr>
              <w:t>piniginius reikalavimus pagal savo sąskaitas faktūras už pirkėjams parduota</w:t>
            </w:r>
            <w:r>
              <w:rPr>
                <w:rFonts w:ascii="Times New Roman" w:hAnsi="Times New Roman" w:cs="Times New Roman"/>
                <w:sz w:val="18"/>
                <w:szCs w:val="18"/>
              </w:rPr>
              <w:t>s prekes ar suteiktas paslaugas. Pradelstų pirkėjų sąskaitų finansavimas panašesnis į skolų išieškojimo verslą (skolų pardavimo), o tai nėra PGF</w:t>
            </w:r>
            <w:r w:rsidRPr="00B04F35">
              <w:rPr>
                <w:rFonts w:ascii="Times New Roman" w:hAnsi="Times New Roman" w:cs="Times New Roman"/>
                <w:sz w:val="18"/>
                <w:szCs w:val="18"/>
              </w:rPr>
              <w:t>2</w:t>
            </w:r>
            <w:r>
              <w:rPr>
                <w:rFonts w:ascii="Times New Roman" w:hAnsi="Times New Roman" w:cs="Times New Roman"/>
                <w:sz w:val="18"/>
                <w:szCs w:val="18"/>
              </w:rPr>
              <w:t xml:space="preserve"> priemonės objektas.</w:t>
            </w:r>
          </w:p>
        </w:tc>
      </w:tr>
      <w:tr w:rsidR="004C32B5" w:rsidRPr="00BC5F1C" w:rsidTr="00422CE1">
        <w:tc>
          <w:tcPr>
            <w:tcW w:w="562" w:type="dxa"/>
          </w:tcPr>
          <w:p w:rsidR="004C32B5" w:rsidRPr="00BC5F1C" w:rsidRDefault="004C32B5" w:rsidP="00E64588">
            <w:pPr>
              <w:jc w:val="both"/>
              <w:rPr>
                <w:rFonts w:ascii="Times New Roman" w:hAnsi="Times New Roman" w:cs="Times New Roman"/>
                <w:sz w:val="18"/>
                <w:szCs w:val="18"/>
              </w:rPr>
            </w:pPr>
            <w:r>
              <w:rPr>
                <w:rFonts w:ascii="Times New Roman" w:hAnsi="Times New Roman" w:cs="Times New Roman"/>
                <w:sz w:val="18"/>
                <w:szCs w:val="18"/>
              </w:rPr>
              <w:t>6.</w:t>
            </w:r>
          </w:p>
        </w:tc>
        <w:tc>
          <w:tcPr>
            <w:tcW w:w="4536" w:type="dxa"/>
          </w:tcPr>
          <w:p w:rsidR="004C32B5" w:rsidRPr="00A47CDD" w:rsidRDefault="004C32B5" w:rsidP="00E64588">
            <w:pPr>
              <w:jc w:val="both"/>
              <w:rPr>
                <w:rFonts w:ascii="Times New Roman" w:hAnsi="Times New Roman" w:cs="Times New Roman"/>
                <w:sz w:val="18"/>
                <w:szCs w:val="18"/>
              </w:rPr>
            </w:pPr>
          </w:p>
        </w:tc>
        <w:tc>
          <w:tcPr>
            <w:tcW w:w="4819" w:type="dxa"/>
          </w:tcPr>
          <w:p w:rsidR="004C32B5" w:rsidRPr="00BC5F1C" w:rsidRDefault="004C32B5" w:rsidP="00120C6A">
            <w:pPr>
              <w:jc w:val="both"/>
              <w:rPr>
                <w:rFonts w:ascii="Times New Roman" w:hAnsi="Times New Roman" w:cs="Times New Roman"/>
                <w:sz w:val="18"/>
                <w:szCs w:val="18"/>
              </w:rPr>
            </w:pPr>
            <w:r w:rsidRPr="00E64588">
              <w:rPr>
                <w:rFonts w:ascii="Times New Roman" w:hAnsi="Times New Roman" w:cs="Times New Roman"/>
                <w:sz w:val="18"/>
                <w:szCs w:val="18"/>
              </w:rPr>
              <w:t>Siūlome sudaryti sąlygas įmonė</w:t>
            </w:r>
            <w:r>
              <w:rPr>
                <w:rFonts w:ascii="Times New Roman" w:hAnsi="Times New Roman" w:cs="Times New Roman"/>
                <w:sz w:val="18"/>
                <w:szCs w:val="18"/>
              </w:rPr>
              <w:t>m</w:t>
            </w:r>
            <w:r w:rsidRPr="00E64588">
              <w:rPr>
                <w:rFonts w:ascii="Times New Roman" w:hAnsi="Times New Roman" w:cs="Times New Roman"/>
                <w:sz w:val="18"/>
                <w:szCs w:val="18"/>
              </w:rPr>
              <w:t>s gauti paskolas kuo paprastesnėmis sąly</w:t>
            </w:r>
            <w:r>
              <w:rPr>
                <w:rFonts w:ascii="Times New Roman" w:hAnsi="Times New Roman" w:cs="Times New Roman"/>
                <w:sz w:val="18"/>
                <w:szCs w:val="18"/>
              </w:rPr>
              <w:t>gomis apyvartinėms lėšoms, kuri</w:t>
            </w:r>
            <w:r w:rsidRPr="00E64588">
              <w:rPr>
                <w:rFonts w:ascii="Times New Roman" w:hAnsi="Times New Roman" w:cs="Times New Roman"/>
                <w:sz w:val="18"/>
                <w:szCs w:val="18"/>
              </w:rPr>
              <w:t>os būtų ne mažesnės negu 2/3 2019 metų įmonės apy</w:t>
            </w:r>
            <w:r>
              <w:rPr>
                <w:rFonts w:ascii="Times New Roman" w:hAnsi="Times New Roman" w:cs="Times New Roman"/>
                <w:sz w:val="18"/>
                <w:szCs w:val="18"/>
              </w:rPr>
              <w:t>v</w:t>
            </w:r>
            <w:r w:rsidRPr="00E64588">
              <w:rPr>
                <w:rFonts w:ascii="Times New Roman" w:hAnsi="Times New Roman" w:cs="Times New Roman"/>
                <w:sz w:val="18"/>
                <w:szCs w:val="18"/>
              </w:rPr>
              <w:t>artos, nes įmonės, susidūrusios su finansiniais sunkumais turės “pagalv</w:t>
            </w:r>
            <w:r>
              <w:rPr>
                <w:rFonts w:ascii="Times New Roman" w:hAnsi="Times New Roman" w:cs="Times New Roman"/>
                <w:sz w:val="18"/>
                <w:szCs w:val="18"/>
              </w:rPr>
              <w:t>ę</w:t>
            </w:r>
            <w:r w:rsidRPr="00E64588">
              <w:rPr>
                <w:rFonts w:ascii="Times New Roman" w:hAnsi="Times New Roman" w:cs="Times New Roman"/>
                <w:sz w:val="18"/>
                <w:szCs w:val="18"/>
              </w:rPr>
              <w:t>” ir neužtikrintai ateičiai</w:t>
            </w:r>
          </w:p>
        </w:tc>
        <w:tc>
          <w:tcPr>
            <w:tcW w:w="4820" w:type="dxa"/>
          </w:tcPr>
          <w:p w:rsidR="004C32B5" w:rsidRPr="00B10C87" w:rsidRDefault="004C32B5" w:rsidP="00E64588">
            <w:pPr>
              <w:jc w:val="both"/>
              <w:rPr>
                <w:rFonts w:ascii="Times New Roman" w:hAnsi="Times New Roman" w:cs="Times New Roman"/>
                <w:sz w:val="18"/>
                <w:szCs w:val="18"/>
              </w:rPr>
            </w:pPr>
            <w:r>
              <w:rPr>
                <w:rFonts w:ascii="Times New Roman" w:hAnsi="Times New Roman" w:cs="Times New Roman"/>
                <w:sz w:val="18"/>
                <w:szCs w:val="18"/>
              </w:rPr>
              <w:t>Apyvartinių paskolų teikimas įmonėms yra kitų „</w:t>
            </w:r>
            <w:proofErr w:type="spellStart"/>
            <w:r>
              <w:rPr>
                <w:rFonts w:ascii="Times New Roman" w:hAnsi="Times New Roman" w:cs="Times New Roman"/>
                <w:sz w:val="18"/>
                <w:szCs w:val="18"/>
              </w:rPr>
              <w:t>Invegos</w:t>
            </w:r>
            <w:proofErr w:type="spellEnd"/>
            <w:r>
              <w:rPr>
                <w:rFonts w:ascii="Times New Roman" w:hAnsi="Times New Roman" w:cs="Times New Roman"/>
                <w:sz w:val="18"/>
                <w:szCs w:val="18"/>
              </w:rPr>
              <w:t xml:space="preserve">“ įgyvendinamų ir naujai kuriamų priemonių objektas („Portfelinės garantijos paskoloms“, „Portfelinės garantijos paskoloms </w:t>
            </w:r>
            <w:r w:rsidRPr="00B10C87">
              <w:rPr>
                <w:rFonts w:ascii="Times New Roman" w:hAnsi="Times New Roman" w:cs="Times New Roman"/>
                <w:sz w:val="18"/>
                <w:szCs w:val="18"/>
              </w:rPr>
              <w:t>2”)</w:t>
            </w:r>
            <w:r>
              <w:rPr>
                <w:rFonts w:ascii="Times New Roman" w:hAnsi="Times New Roman" w:cs="Times New Roman"/>
                <w:sz w:val="18"/>
                <w:szCs w:val="18"/>
              </w:rPr>
              <w:t>. Jūsų pastabą perduosime kolegoms.</w:t>
            </w:r>
          </w:p>
        </w:tc>
      </w:tr>
      <w:tr w:rsidR="004C32B5" w:rsidRPr="00E751C4" w:rsidTr="00422CE1">
        <w:tc>
          <w:tcPr>
            <w:tcW w:w="562"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7.</w:t>
            </w:r>
          </w:p>
        </w:tc>
        <w:tc>
          <w:tcPr>
            <w:tcW w:w="4536" w:type="dxa"/>
          </w:tcPr>
          <w:p w:rsidR="004C32B5" w:rsidRPr="00E751C4" w:rsidRDefault="004C32B5" w:rsidP="00E64588">
            <w:pPr>
              <w:jc w:val="both"/>
              <w:rPr>
                <w:rFonts w:ascii="Times New Roman" w:hAnsi="Times New Roman" w:cs="Times New Roman"/>
                <w:sz w:val="18"/>
                <w:szCs w:val="18"/>
              </w:rPr>
            </w:pPr>
          </w:p>
        </w:tc>
        <w:tc>
          <w:tcPr>
            <w:tcW w:w="4819" w:type="dxa"/>
          </w:tcPr>
          <w:p w:rsidR="004C32B5" w:rsidRPr="00E64588" w:rsidRDefault="004C32B5" w:rsidP="00E64588">
            <w:pPr>
              <w:rPr>
                <w:rFonts w:ascii="Times New Roman" w:hAnsi="Times New Roman" w:cs="Times New Roman"/>
                <w:sz w:val="18"/>
                <w:szCs w:val="18"/>
              </w:rPr>
            </w:pPr>
            <w:r w:rsidRPr="00E64588">
              <w:rPr>
                <w:rFonts w:ascii="Times New Roman" w:hAnsi="Times New Roman" w:cs="Times New Roman"/>
                <w:sz w:val="18"/>
                <w:szCs w:val="18"/>
              </w:rPr>
              <w:t>Siūlome atidėti pagal šias priemones gautų paskolų gražinimą metams ar ilgiau, nes įmonės nemanau, kad bus pajėgios iškart grąžinti paskolas, joms tikrai reikės pereinamojo periodo, išdėstyto kaip įmanoma ilgesniam laiko tarpui</w:t>
            </w:r>
          </w:p>
          <w:p w:rsidR="004C32B5" w:rsidRPr="00A47CDD" w:rsidRDefault="004C32B5" w:rsidP="00E64588">
            <w:pPr>
              <w:jc w:val="both"/>
              <w:rPr>
                <w:rFonts w:ascii="Times New Roman" w:hAnsi="Times New Roman" w:cs="Times New Roman"/>
                <w:sz w:val="18"/>
                <w:szCs w:val="18"/>
              </w:rPr>
            </w:pPr>
          </w:p>
        </w:tc>
        <w:tc>
          <w:tcPr>
            <w:tcW w:w="4820"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Faktoringo atveju finansuotą sumą sugrąžina pirkėjas, apmokėdamas sąskaitas, tad grąžinimo grafiko nėra. Apyvartinių paskolų teikimas įmonėms yra kitų „</w:t>
            </w:r>
            <w:proofErr w:type="spellStart"/>
            <w:r>
              <w:rPr>
                <w:rFonts w:ascii="Times New Roman" w:hAnsi="Times New Roman" w:cs="Times New Roman"/>
                <w:sz w:val="18"/>
                <w:szCs w:val="18"/>
              </w:rPr>
              <w:t>Invegos</w:t>
            </w:r>
            <w:proofErr w:type="spellEnd"/>
            <w:r>
              <w:rPr>
                <w:rFonts w:ascii="Times New Roman" w:hAnsi="Times New Roman" w:cs="Times New Roman"/>
                <w:sz w:val="18"/>
                <w:szCs w:val="18"/>
              </w:rPr>
              <w:t xml:space="preserve">“ įgyvendinamų ir naujai kuriamų priemonių objektas („Portfelinės garantijos paskoloms“, „Portfelinės garantijos paskoloms </w:t>
            </w:r>
            <w:r w:rsidRPr="00B10C87">
              <w:rPr>
                <w:rFonts w:ascii="Times New Roman" w:hAnsi="Times New Roman" w:cs="Times New Roman"/>
                <w:sz w:val="18"/>
                <w:szCs w:val="18"/>
              </w:rPr>
              <w:t>2”)</w:t>
            </w:r>
            <w:r>
              <w:rPr>
                <w:rFonts w:ascii="Times New Roman" w:hAnsi="Times New Roman" w:cs="Times New Roman"/>
                <w:sz w:val="18"/>
                <w:szCs w:val="18"/>
              </w:rPr>
              <w:t>. Jūsų pastabą perduosime kolegoms.</w:t>
            </w:r>
          </w:p>
        </w:tc>
      </w:tr>
      <w:tr w:rsidR="004C32B5" w:rsidRPr="00E751C4" w:rsidTr="00422CE1">
        <w:tc>
          <w:tcPr>
            <w:tcW w:w="562"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8.</w:t>
            </w:r>
          </w:p>
        </w:tc>
        <w:tc>
          <w:tcPr>
            <w:tcW w:w="4536" w:type="dxa"/>
          </w:tcPr>
          <w:p w:rsidR="004C32B5" w:rsidRPr="00E751C4" w:rsidRDefault="004C32B5" w:rsidP="00E64588">
            <w:pPr>
              <w:jc w:val="both"/>
              <w:rPr>
                <w:rFonts w:ascii="Times New Roman" w:hAnsi="Times New Roman" w:cs="Times New Roman"/>
                <w:b/>
                <w:sz w:val="18"/>
                <w:szCs w:val="18"/>
              </w:rPr>
            </w:pPr>
          </w:p>
        </w:tc>
        <w:tc>
          <w:tcPr>
            <w:tcW w:w="4819" w:type="dxa"/>
          </w:tcPr>
          <w:p w:rsidR="004C32B5" w:rsidRPr="00832AA1" w:rsidRDefault="004C32B5" w:rsidP="00832AA1">
            <w:pPr>
              <w:jc w:val="both"/>
              <w:rPr>
                <w:rFonts w:ascii="Times New Roman" w:hAnsi="Times New Roman" w:cs="Times New Roman"/>
                <w:sz w:val="18"/>
                <w:szCs w:val="18"/>
              </w:rPr>
            </w:pPr>
            <w:r>
              <w:rPr>
                <w:rFonts w:ascii="Times New Roman" w:hAnsi="Times New Roman" w:cs="Times New Roman"/>
                <w:sz w:val="18"/>
                <w:szCs w:val="18"/>
              </w:rPr>
              <w:t>P</w:t>
            </w:r>
            <w:r w:rsidRPr="00832AA1">
              <w:rPr>
                <w:rFonts w:ascii="Times New Roman" w:hAnsi="Times New Roman" w:cs="Times New Roman"/>
                <w:sz w:val="18"/>
                <w:szCs w:val="18"/>
              </w:rPr>
              <w:t xml:space="preserve">riemonei įgyvendinti numatoma skirti 10 mln. eurų, tokiu būdu garantuojant maždaug 57 mln. </w:t>
            </w:r>
            <w:proofErr w:type="spellStart"/>
            <w:r w:rsidRPr="00832AA1">
              <w:rPr>
                <w:rFonts w:ascii="Times New Roman" w:hAnsi="Times New Roman" w:cs="Times New Roman"/>
                <w:sz w:val="18"/>
                <w:szCs w:val="18"/>
              </w:rPr>
              <w:t>Eur</w:t>
            </w:r>
            <w:proofErr w:type="spellEnd"/>
            <w:r w:rsidRPr="00832AA1">
              <w:rPr>
                <w:rFonts w:ascii="Times New Roman" w:hAnsi="Times New Roman" w:cs="Times New Roman"/>
                <w:sz w:val="18"/>
                <w:szCs w:val="18"/>
              </w:rPr>
              <w:t xml:space="preserve"> faktoringo sandorių.</w:t>
            </w:r>
          </w:p>
          <w:p w:rsidR="004C32B5" w:rsidRPr="00832AA1" w:rsidRDefault="004C32B5" w:rsidP="00832AA1">
            <w:pPr>
              <w:jc w:val="both"/>
              <w:rPr>
                <w:rFonts w:ascii="Times New Roman" w:hAnsi="Times New Roman" w:cs="Times New Roman"/>
                <w:sz w:val="18"/>
                <w:szCs w:val="18"/>
              </w:rPr>
            </w:pPr>
            <w:r w:rsidRPr="00832AA1">
              <w:rPr>
                <w:rFonts w:ascii="Times New Roman" w:hAnsi="Times New Roman" w:cs="Times New Roman"/>
                <w:sz w:val="18"/>
                <w:szCs w:val="18"/>
              </w:rPr>
              <w:t>Ar 10 mln. eurų limitas bus padalinamas faktoringo bendrovėms?</w:t>
            </w:r>
          </w:p>
          <w:p w:rsidR="004C32B5" w:rsidRDefault="004C32B5" w:rsidP="00832AA1">
            <w:pPr>
              <w:jc w:val="both"/>
              <w:rPr>
                <w:rFonts w:ascii="Times New Roman" w:hAnsi="Times New Roman" w:cs="Times New Roman"/>
                <w:sz w:val="18"/>
                <w:szCs w:val="18"/>
              </w:rPr>
            </w:pPr>
            <w:r w:rsidRPr="00832AA1">
              <w:rPr>
                <w:rFonts w:ascii="Times New Roman" w:hAnsi="Times New Roman" w:cs="Times New Roman"/>
                <w:sz w:val="18"/>
                <w:szCs w:val="18"/>
              </w:rPr>
              <w:t>Ir pagal ką bus skirstomas limitas, pagal dabartinę rinkos dalį, apyvartą, visiems vienodai?</w:t>
            </w:r>
          </w:p>
        </w:tc>
        <w:tc>
          <w:tcPr>
            <w:tcW w:w="4820" w:type="dxa"/>
          </w:tcPr>
          <w:p w:rsidR="004C32B5" w:rsidRPr="00832AA1" w:rsidRDefault="004C32B5" w:rsidP="00DF41F0">
            <w:pPr>
              <w:jc w:val="both"/>
              <w:rPr>
                <w:rFonts w:ascii="Times New Roman" w:hAnsi="Times New Roman" w:cs="Times New Roman"/>
                <w:sz w:val="18"/>
                <w:szCs w:val="18"/>
              </w:rPr>
            </w:pPr>
            <w:r>
              <w:rPr>
                <w:rFonts w:ascii="Times New Roman" w:hAnsi="Times New Roman" w:cs="Times New Roman"/>
                <w:sz w:val="18"/>
                <w:szCs w:val="18"/>
              </w:rPr>
              <w:t>Priemonei skirtą sumą planuojama padalinti</w:t>
            </w:r>
            <w:r w:rsidRPr="00832AA1">
              <w:rPr>
                <w:rFonts w:ascii="Times New Roman" w:hAnsi="Times New Roman" w:cs="Times New Roman"/>
                <w:sz w:val="18"/>
                <w:szCs w:val="18"/>
              </w:rPr>
              <w:t xml:space="preserve"> </w:t>
            </w:r>
            <w:r>
              <w:rPr>
                <w:rFonts w:ascii="Times New Roman" w:hAnsi="Times New Roman" w:cs="Times New Roman"/>
                <w:sz w:val="18"/>
                <w:szCs w:val="18"/>
              </w:rPr>
              <w:t>reikalavimus atitinkantiems finansų tarpininkams. Reikalavimai finansų tarpininkams šiuo metu rengiami.</w:t>
            </w:r>
          </w:p>
        </w:tc>
      </w:tr>
      <w:tr w:rsidR="004C32B5" w:rsidRPr="00E751C4" w:rsidTr="00422CE1">
        <w:tc>
          <w:tcPr>
            <w:tcW w:w="562"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9.</w:t>
            </w:r>
          </w:p>
        </w:tc>
        <w:tc>
          <w:tcPr>
            <w:tcW w:w="4536" w:type="dxa"/>
          </w:tcPr>
          <w:p w:rsidR="004C32B5" w:rsidRPr="00E24173" w:rsidRDefault="004C32B5" w:rsidP="00DF41F0">
            <w:pPr>
              <w:jc w:val="both"/>
              <w:rPr>
                <w:rFonts w:ascii="Times New Roman" w:hAnsi="Times New Roman" w:cs="Times New Roman"/>
                <w:sz w:val="18"/>
                <w:szCs w:val="18"/>
              </w:rPr>
            </w:pPr>
            <w:r w:rsidRPr="00E24173">
              <w:rPr>
                <w:rFonts w:ascii="Times New Roman" w:hAnsi="Times New Roman" w:cs="Times New Roman"/>
                <w:sz w:val="18"/>
                <w:szCs w:val="18"/>
              </w:rPr>
              <w:t>Kiekvieno atrinkto PGF2 priemonės valdytojo naujai suformuotam Faktoringo sandorių, atitinkančių PGF2 priemonės Tinkamumo sąlygas, Portfeliui suteikiama portfelinė garantija (toliau – Garantija), kuri mažina finansavimo riziką. Faktoringo sandoriai, kurie traukiami į Portfelį, turi būti finansuojami iš PGF2 priemonės valdytojo lėšų</w:t>
            </w:r>
          </w:p>
        </w:tc>
        <w:tc>
          <w:tcPr>
            <w:tcW w:w="4819" w:type="dxa"/>
          </w:tcPr>
          <w:p w:rsidR="004C32B5" w:rsidRDefault="004C32B5" w:rsidP="00832AA1">
            <w:pPr>
              <w:jc w:val="both"/>
              <w:rPr>
                <w:rFonts w:ascii="Times New Roman" w:hAnsi="Times New Roman" w:cs="Times New Roman"/>
                <w:sz w:val="18"/>
                <w:szCs w:val="18"/>
              </w:rPr>
            </w:pPr>
            <w:r w:rsidRPr="00E24173">
              <w:rPr>
                <w:rFonts w:ascii="Times New Roman" w:hAnsi="Times New Roman" w:cs="Times New Roman"/>
                <w:sz w:val="18"/>
                <w:szCs w:val="18"/>
              </w:rPr>
              <w:t xml:space="preserve">Esamiems, </w:t>
            </w:r>
            <w:proofErr w:type="spellStart"/>
            <w:r w:rsidRPr="00E24173">
              <w:rPr>
                <w:rFonts w:ascii="Times New Roman" w:hAnsi="Times New Roman" w:cs="Times New Roman"/>
                <w:sz w:val="18"/>
                <w:szCs w:val="18"/>
              </w:rPr>
              <w:t>padidinimams</w:t>
            </w:r>
            <w:proofErr w:type="spellEnd"/>
            <w:r w:rsidRPr="00E24173">
              <w:rPr>
                <w:rFonts w:ascii="Times New Roman" w:hAnsi="Times New Roman" w:cs="Times New Roman"/>
                <w:sz w:val="18"/>
                <w:szCs w:val="18"/>
              </w:rPr>
              <w:t xml:space="preserve">, </w:t>
            </w:r>
            <w:proofErr w:type="spellStart"/>
            <w:r w:rsidRPr="00E24173">
              <w:rPr>
                <w:rFonts w:ascii="Times New Roman" w:hAnsi="Times New Roman" w:cs="Times New Roman"/>
                <w:sz w:val="18"/>
                <w:szCs w:val="18"/>
              </w:rPr>
              <w:t>pratęsimams</w:t>
            </w:r>
            <w:proofErr w:type="spellEnd"/>
            <w:r w:rsidRPr="00E24173">
              <w:rPr>
                <w:rFonts w:ascii="Times New Roman" w:hAnsi="Times New Roman" w:cs="Times New Roman"/>
                <w:sz w:val="18"/>
                <w:szCs w:val="18"/>
              </w:rPr>
              <w:t xml:space="preserve"> netaikoma? Nes dabar </w:t>
            </w:r>
            <w:proofErr w:type="spellStart"/>
            <w:r w:rsidRPr="00E24173">
              <w:rPr>
                <w:rFonts w:ascii="Times New Roman" w:hAnsi="Times New Roman" w:cs="Times New Roman"/>
                <w:sz w:val="18"/>
                <w:szCs w:val="18"/>
              </w:rPr>
              <w:t>gręsia</w:t>
            </w:r>
            <w:proofErr w:type="spellEnd"/>
            <w:r w:rsidRPr="00E24173">
              <w:rPr>
                <w:rFonts w:ascii="Times New Roman" w:hAnsi="Times New Roman" w:cs="Times New Roman"/>
                <w:sz w:val="18"/>
                <w:szCs w:val="18"/>
              </w:rPr>
              <w:t xml:space="preserve"> intensyvus limitų sumažinimas ir apkarpymas.</w:t>
            </w:r>
          </w:p>
        </w:tc>
        <w:tc>
          <w:tcPr>
            <w:tcW w:w="4820" w:type="dxa"/>
          </w:tcPr>
          <w:p w:rsidR="004C32B5" w:rsidRDefault="004C32B5" w:rsidP="00575D8E">
            <w:pPr>
              <w:jc w:val="both"/>
              <w:rPr>
                <w:rFonts w:ascii="Times New Roman" w:hAnsi="Times New Roman" w:cs="Times New Roman"/>
                <w:sz w:val="18"/>
                <w:szCs w:val="18"/>
              </w:rPr>
            </w:pPr>
            <w:r>
              <w:rPr>
                <w:rFonts w:ascii="Times New Roman" w:hAnsi="Times New Roman" w:cs="Times New Roman"/>
                <w:sz w:val="18"/>
                <w:szCs w:val="18"/>
              </w:rPr>
              <w:t>Neatsižvelgta</w:t>
            </w:r>
          </w:p>
          <w:p w:rsidR="004C32B5" w:rsidRDefault="004C32B5" w:rsidP="00E64588">
            <w:pPr>
              <w:jc w:val="both"/>
              <w:rPr>
                <w:rFonts w:ascii="Times New Roman" w:hAnsi="Times New Roman" w:cs="Times New Roman"/>
                <w:sz w:val="18"/>
                <w:szCs w:val="18"/>
              </w:rPr>
            </w:pPr>
          </w:p>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PGF2 priemonė skirta naujai formuojamam faktoringo sandorių portfeliui ir naujiems įmonių apyvartinių lėšų poreikiams patenkinti. Priemonė nėra skirta turimų sandorių portfelių pertvarkymui, restruktūrizavimui.</w:t>
            </w:r>
          </w:p>
        </w:tc>
      </w:tr>
      <w:tr w:rsidR="004C32B5" w:rsidRPr="00E751C4" w:rsidTr="00422CE1">
        <w:tc>
          <w:tcPr>
            <w:tcW w:w="562"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10.</w:t>
            </w:r>
          </w:p>
        </w:tc>
        <w:tc>
          <w:tcPr>
            <w:tcW w:w="4536" w:type="dxa"/>
          </w:tcPr>
          <w:p w:rsidR="004C32B5" w:rsidRPr="00E24173" w:rsidRDefault="004C32B5" w:rsidP="00E64588">
            <w:pPr>
              <w:jc w:val="both"/>
              <w:rPr>
                <w:rFonts w:ascii="Times New Roman" w:hAnsi="Times New Roman" w:cs="Times New Roman"/>
                <w:b/>
                <w:sz w:val="18"/>
                <w:szCs w:val="18"/>
              </w:rPr>
            </w:pPr>
            <w:r w:rsidRPr="00E24173">
              <w:rPr>
                <w:rFonts w:ascii="Times New Roman" w:hAnsi="Times New Roman" w:cs="Times New Roman"/>
                <w:b/>
                <w:sz w:val="18"/>
                <w:szCs w:val="18"/>
              </w:rPr>
              <w:t>Taikoma valstybės pagalba</w:t>
            </w:r>
          </w:p>
          <w:p w:rsidR="004C32B5" w:rsidRPr="00E24173" w:rsidRDefault="004C32B5" w:rsidP="00E64588">
            <w:pPr>
              <w:jc w:val="both"/>
              <w:rPr>
                <w:rFonts w:ascii="Times New Roman" w:hAnsi="Times New Roman" w:cs="Times New Roman"/>
                <w:sz w:val="18"/>
                <w:szCs w:val="18"/>
              </w:rPr>
            </w:pPr>
            <w:r>
              <w:rPr>
                <w:rFonts w:ascii="Times New Roman" w:hAnsi="Times New Roman" w:cs="Times New Roman"/>
                <w:sz w:val="18"/>
                <w:szCs w:val="18"/>
              </w:rPr>
              <w:t>B</w:t>
            </w:r>
            <w:r w:rsidRPr="00E24173">
              <w:rPr>
                <w:rFonts w:ascii="Times New Roman" w:hAnsi="Times New Roman" w:cs="Times New Roman"/>
                <w:sz w:val="18"/>
                <w:szCs w:val="18"/>
              </w:rPr>
              <w:t xml:space="preserve">et kokiu atveju MVĮ pagal Faktoringo sandorio limitą apskaičiuota de </w:t>
            </w:r>
            <w:proofErr w:type="spellStart"/>
            <w:r w:rsidRPr="00E24173">
              <w:rPr>
                <w:rFonts w:ascii="Times New Roman" w:hAnsi="Times New Roman" w:cs="Times New Roman"/>
                <w:sz w:val="18"/>
                <w:szCs w:val="18"/>
              </w:rPr>
              <w:t>minimis</w:t>
            </w:r>
            <w:proofErr w:type="spellEnd"/>
            <w:r w:rsidRPr="00E24173">
              <w:rPr>
                <w:rFonts w:ascii="Times New Roman" w:hAnsi="Times New Roman" w:cs="Times New Roman"/>
                <w:sz w:val="18"/>
                <w:szCs w:val="18"/>
              </w:rPr>
              <w:t xml:space="preserve">  pagalbos suma negali būti didesnė nei pagal Reglamento (ES) Nr. 1407/2013 nuostatas leidžiama didžiausia de </w:t>
            </w:r>
            <w:proofErr w:type="spellStart"/>
            <w:r w:rsidRPr="00E24173">
              <w:rPr>
                <w:rFonts w:ascii="Times New Roman" w:hAnsi="Times New Roman" w:cs="Times New Roman"/>
                <w:sz w:val="18"/>
                <w:szCs w:val="18"/>
              </w:rPr>
              <w:t>minimis</w:t>
            </w:r>
            <w:proofErr w:type="spellEnd"/>
            <w:r w:rsidRPr="00E24173">
              <w:rPr>
                <w:rFonts w:ascii="Times New Roman" w:hAnsi="Times New Roman" w:cs="Times New Roman"/>
                <w:sz w:val="18"/>
                <w:szCs w:val="18"/>
              </w:rPr>
              <w:t xml:space="preserve"> pagalbos suma</w:t>
            </w:r>
          </w:p>
        </w:tc>
        <w:tc>
          <w:tcPr>
            <w:tcW w:w="4819" w:type="dxa"/>
          </w:tcPr>
          <w:p w:rsidR="004C32B5" w:rsidRPr="00E24173" w:rsidRDefault="004C32B5" w:rsidP="00832AA1">
            <w:pPr>
              <w:jc w:val="both"/>
              <w:rPr>
                <w:rFonts w:ascii="Times New Roman" w:hAnsi="Times New Roman" w:cs="Times New Roman"/>
                <w:sz w:val="18"/>
                <w:szCs w:val="18"/>
              </w:rPr>
            </w:pPr>
            <w:r w:rsidRPr="00E24173">
              <w:rPr>
                <w:rFonts w:ascii="Times New Roman" w:hAnsi="Times New Roman" w:cs="Times New Roman"/>
                <w:sz w:val="18"/>
                <w:szCs w:val="18"/>
              </w:rPr>
              <w:t xml:space="preserve">Ar galime išimti de </w:t>
            </w:r>
            <w:proofErr w:type="spellStart"/>
            <w:r w:rsidRPr="00E24173">
              <w:rPr>
                <w:rFonts w:ascii="Times New Roman" w:hAnsi="Times New Roman" w:cs="Times New Roman"/>
                <w:sz w:val="18"/>
                <w:szCs w:val="18"/>
              </w:rPr>
              <w:t>minimis</w:t>
            </w:r>
            <w:proofErr w:type="spellEnd"/>
            <w:r w:rsidRPr="00E24173">
              <w:rPr>
                <w:rFonts w:ascii="Times New Roman" w:hAnsi="Times New Roman" w:cs="Times New Roman"/>
                <w:sz w:val="18"/>
                <w:szCs w:val="18"/>
              </w:rPr>
              <w:t xml:space="preserve"> reikalavimus? PGP2 jų nesimato.</w:t>
            </w:r>
          </w:p>
        </w:tc>
        <w:tc>
          <w:tcPr>
            <w:tcW w:w="4820" w:type="dxa"/>
          </w:tcPr>
          <w:p w:rsidR="004C32B5" w:rsidRDefault="004C32B5" w:rsidP="00575D8E">
            <w:pPr>
              <w:jc w:val="both"/>
              <w:rPr>
                <w:rFonts w:ascii="Times New Roman" w:hAnsi="Times New Roman" w:cs="Times New Roman"/>
                <w:sz w:val="18"/>
                <w:szCs w:val="18"/>
              </w:rPr>
            </w:pPr>
            <w:r>
              <w:rPr>
                <w:rFonts w:ascii="Times New Roman" w:hAnsi="Times New Roman" w:cs="Times New Roman"/>
                <w:sz w:val="18"/>
                <w:szCs w:val="18"/>
              </w:rPr>
              <w:t>Neatsižvelgta</w:t>
            </w:r>
          </w:p>
          <w:p w:rsidR="004C32B5" w:rsidRDefault="004C32B5" w:rsidP="0043272B">
            <w:pPr>
              <w:jc w:val="both"/>
              <w:rPr>
                <w:rFonts w:ascii="Times New Roman" w:hAnsi="Times New Roman" w:cs="Times New Roman"/>
                <w:sz w:val="18"/>
                <w:szCs w:val="18"/>
              </w:rPr>
            </w:pPr>
          </w:p>
          <w:p w:rsidR="004C32B5" w:rsidRDefault="004C32B5" w:rsidP="0043272B">
            <w:pPr>
              <w:jc w:val="both"/>
              <w:rPr>
                <w:rFonts w:ascii="Times New Roman" w:hAnsi="Times New Roman" w:cs="Times New Roman"/>
                <w:sz w:val="18"/>
                <w:szCs w:val="18"/>
              </w:rPr>
            </w:pPr>
            <w:r>
              <w:rPr>
                <w:rFonts w:ascii="Times New Roman" w:hAnsi="Times New Roman" w:cs="Times New Roman"/>
                <w:sz w:val="18"/>
                <w:szCs w:val="18"/>
              </w:rPr>
              <w:t xml:space="preserve">PGF2 priemonė bus įgyvendinama pagal </w:t>
            </w:r>
            <w:r>
              <w:t xml:space="preserve"> </w:t>
            </w:r>
            <w:proofErr w:type="spellStart"/>
            <w:r w:rsidRPr="0043272B">
              <w:rPr>
                <w:rFonts w:ascii="Times New Roman" w:hAnsi="Times New Roman" w:cs="Times New Roman"/>
                <w:sz w:val="18"/>
                <w:szCs w:val="18"/>
              </w:rPr>
              <w:t>pagal</w:t>
            </w:r>
            <w:proofErr w:type="spellEnd"/>
            <w:r w:rsidRPr="0043272B">
              <w:rPr>
                <w:rFonts w:ascii="Times New Roman" w:hAnsi="Times New Roman" w:cs="Times New Roman"/>
                <w:sz w:val="18"/>
                <w:szCs w:val="18"/>
              </w:rPr>
              <w:t xml:space="preserve"> </w:t>
            </w:r>
            <w:r w:rsidRPr="0043272B">
              <w:rPr>
                <w:rFonts w:ascii="Times New Roman" w:hAnsi="Times New Roman" w:cs="Times New Roman"/>
                <w:i/>
                <w:sz w:val="18"/>
                <w:szCs w:val="18"/>
              </w:rPr>
              <w:t xml:space="preserve">De </w:t>
            </w:r>
            <w:proofErr w:type="spellStart"/>
            <w:r w:rsidRPr="0043272B">
              <w:rPr>
                <w:rFonts w:ascii="Times New Roman" w:hAnsi="Times New Roman" w:cs="Times New Roman"/>
                <w:i/>
                <w:sz w:val="18"/>
                <w:szCs w:val="18"/>
              </w:rPr>
              <w:t>minimis</w:t>
            </w:r>
            <w:proofErr w:type="spellEnd"/>
            <w:r>
              <w:rPr>
                <w:rFonts w:ascii="Times New Roman" w:hAnsi="Times New Roman" w:cs="Times New Roman"/>
                <w:sz w:val="18"/>
                <w:szCs w:val="18"/>
              </w:rPr>
              <w:t xml:space="preserve"> </w:t>
            </w:r>
            <w:r w:rsidRPr="0043272B">
              <w:rPr>
                <w:rFonts w:ascii="Times New Roman" w:hAnsi="Times New Roman" w:cs="Times New Roman"/>
                <w:sz w:val="18"/>
                <w:szCs w:val="18"/>
              </w:rPr>
              <w:t>Reglamento (ES) Nr. 1407/2013 nuostatas</w:t>
            </w:r>
            <w:r>
              <w:rPr>
                <w:rFonts w:ascii="Times New Roman" w:hAnsi="Times New Roman" w:cs="Times New Roman"/>
                <w:sz w:val="18"/>
                <w:szCs w:val="18"/>
              </w:rPr>
              <w:t>.</w:t>
            </w:r>
          </w:p>
          <w:p w:rsidR="004C32B5" w:rsidRDefault="004C32B5" w:rsidP="0043272B">
            <w:pPr>
              <w:jc w:val="both"/>
              <w:rPr>
                <w:rFonts w:ascii="Times New Roman" w:hAnsi="Times New Roman" w:cs="Times New Roman"/>
                <w:sz w:val="18"/>
                <w:szCs w:val="18"/>
              </w:rPr>
            </w:pPr>
            <w:r>
              <w:rPr>
                <w:rFonts w:ascii="Times New Roman" w:hAnsi="Times New Roman" w:cs="Times New Roman"/>
                <w:sz w:val="18"/>
                <w:szCs w:val="18"/>
              </w:rPr>
              <w:t>PGP2 priemonė bus įgyvendinama pagal</w:t>
            </w:r>
            <w:r>
              <w:t xml:space="preserve"> </w:t>
            </w:r>
            <w:r w:rsidRPr="0043272B">
              <w:rPr>
                <w:rFonts w:ascii="Times New Roman" w:hAnsi="Times New Roman" w:cs="Times New Roman"/>
                <w:sz w:val="18"/>
                <w:szCs w:val="18"/>
              </w:rPr>
              <w:t>2020 m. kovo 19 d. Europos Komisijos komunikatą dėl Laikinosios valstybės pagalbos priemonių, skirtų ekonomikai remti reaguojant į dabartinį COVID-19 protrūkį, sistemos</w:t>
            </w:r>
            <w:r>
              <w:rPr>
                <w:rFonts w:ascii="Times New Roman" w:hAnsi="Times New Roman" w:cs="Times New Roman"/>
                <w:sz w:val="18"/>
                <w:szCs w:val="18"/>
              </w:rPr>
              <w:t>. Deja šis komunikatas neskirtas ir negali būti taikomas finansavimui faktoringo forma</w:t>
            </w:r>
          </w:p>
        </w:tc>
      </w:tr>
      <w:tr w:rsidR="004C32B5" w:rsidRPr="00E751C4" w:rsidTr="00422CE1">
        <w:tc>
          <w:tcPr>
            <w:tcW w:w="562"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11.</w:t>
            </w:r>
          </w:p>
        </w:tc>
        <w:tc>
          <w:tcPr>
            <w:tcW w:w="4536" w:type="dxa"/>
          </w:tcPr>
          <w:p w:rsidR="004C32B5" w:rsidRPr="00E24173" w:rsidRDefault="004C32B5" w:rsidP="00E64588">
            <w:pPr>
              <w:jc w:val="both"/>
              <w:rPr>
                <w:rFonts w:ascii="Times New Roman" w:hAnsi="Times New Roman" w:cs="Times New Roman"/>
                <w:b/>
                <w:sz w:val="18"/>
                <w:szCs w:val="18"/>
              </w:rPr>
            </w:pPr>
            <w:r w:rsidRPr="00E24173">
              <w:rPr>
                <w:rFonts w:ascii="Times New Roman" w:hAnsi="Times New Roman" w:cs="Times New Roman"/>
                <w:b/>
                <w:sz w:val="18"/>
                <w:szCs w:val="18"/>
              </w:rPr>
              <w:t>MVĮ tinkamumo sąlygos</w:t>
            </w:r>
          </w:p>
          <w:p w:rsidR="004C32B5" w:rsidRDefault="004C32B5" w:rsidP="00E64588">
            <w:pPr>
              <w:jc w:val="both"/>
              <w:rPr>
                <w:rFonts w:ascii="Times New Roman" w:hAnsi="Times New Roman" w:cs="Times New Roman"/>
                <w:sz w:val="18"/>
                <w:szCs w:val="18"/>
              </w:rPr>
            </w:pPr>
            <w:r w:rsidRPr="00E24173">
              <w:rPr>
                <w:rFonts w:ascii="Times New Roman" w:hAnsi="Times New Roman" w:cs="Times New Roman"/>
                <w:sz w:val="18"/>
                <w:szCs w:val="18"/>
              </w:rPr>
              <w:t xml:space="preserve">MVĮ finansavimo rizika patenka į priimtinos rizikos kategoriją, jeigu PGF2 priemonės valdytojo Faktoringo sandorio gavėjui nustatytas finansavimo reitingas yra ne mažesnis kaip „B-“ ar „B3“ reitingai pagal tarptautinių reitingų agentūrų (angl. Standard </w:t>
            </w:r>
            <w:proofErr w:type="spellStart"/>
            <w:r w:rsidRPr="00E24173">
              <w:rPr>
                <w:rFonts w:ascii="Times New Roman" w:hAnsi="Times New Roman" w:cs="Times New Roman"/>
                <w:sz w:val="18"/>
                <w:szCs w:val="18"/>
              </w:rPr>
              <w:t>and</w:t>
            </w:r>
            <w:proofErr w:type="spellEnd"/>
            <w:r w:rsidRPr="00E24173">
              <w:rPr>
                <w:rFonts w:ascii="Times New Roman" w:hAnsi="Times New Roman" w:cs="Times New Roman"/>
                <w:sz w:val="18"/>
                <w:szCs w:val="18"/>
              </w:rPr>
              <w:t xml:space="preserve"> </w:t>
            </w:r>
            <w:proofErr w:type="spellStart"/>
            <w:r w:rsidRPr="00E24173">
              <w:rPr>
                <w:rFonts w:ascii="Times New Roman" w:hAnsi="Times New Roman" w:cs="Times New Roman"/>
                <w:sz w:val="18"/>
                <w:szCs w:val="18"/>
              </w:rPr>
              <w:t>Poor‘s</w:t>
            </w:r>
            <w:proofErr w:type="spellEnd"/>
            <w:r w:rsidRPr="00E24173">
              <w:rPr>
                <w:rFonts w:ascii="Times New Roman" w:hAnsi="Times New Roman" w:cs="Times New Roman"/>
                <w:sz w:val="18"/>
                <w:szCs w:val="18"/>
              </w:rPr>
              <w:t xml:space="preserve">, </w:t>
            </w:r>
            <w:proofErr w:type="spellStart"/>
            <w:r w:rsidRPr="00E24173">
              <w:rPr>
                <w:rFonts w:ascii="Times New Roman" w:hAnsi="Times New Roman" w:cs="Times New Roman"/>
                <w:sz w:val="18"/>
                <w:szCs w:val="18"/>
              </w:rPr>
              <w:t>Fitch</w:t>
            </w:r>
            <w:proofErr w:type="spellEnd"/>
            <w:r w:rsidRPr="00E24173">
              <w:rPr>
                <w:rFonts w:ascii="Times New Roman" w:hAnsi="Times New Roman" w:cs="Times New Roman"/>
                <w:sz w:val="18"/>
                <w:szCs w:val="18"/>
              </w:rPr>
              <w:t xml:space="preserve"> ir </w:t>
            </w:r>
            <w:proofErr w:type="spellStart"/>
            <w:r w:rsidRPr="00E24173">
              <w:rPr>
                <w:rFonts w:ascii="Times New Roman" w:hAnsi="Times New Roman" w:cs="Times New Roman"/>
                <w:sz w:val="18"/>
                <w:szCs w:val="18"/>
              </w:rPr>
              <w:t>Moody‘s</w:t>
            </w:r>
            <w:proofErr w:type="spellEnd"/>
            <w:r w:rsidRPr="00E24173">
              <w:rPr>
                <w:rFonts w:ascii="Times New Roman" w:hAnsi="Times New Roman" w:cs="Times New Roman"/>
                <w:sz w:val="18"/>
                <w:szCs w:val="18"/>
              </w:rPr>
              <w:t>) naudojamą reitingavimą arba šiems reitingams prilygintas PGF2 priemonės valdytojo Faktoringo sandorio gavėjui nustatytas finansavimo reitingas.</w:t>
            </w:r>
          </w:p>
        </w:tc>
        <w:tc>
          <w:tcPr>
            <w:tcW w:w="4819" w:type="dxa"/>
          </w:tcPr>
          <w:p w:rsidR="004C32B5" w:rsidRPr="00E24173" w:rsidRDefault="004C32B5" w:rsidP="00832AA1">
            <w:pPr>
              <w:jc w:val="both"/>
              <w:rPr>
                <w:rFonts w:ascii="Times New Roman" w:hAnsi="Times New Roman" w:cs="Times New Roman"/>
                <w:sz w:val="18"/>
                <w:szCs w:val="18"/>
              </w:rPr>
            </w:pPr>
            <w:r w:rsidRPr="00E24173">
              <w:rPr>
                <w:rFonts w:ascii="Times New Roman" w:hAnsi="Times New Roman" w:cs="Times New Roman"/>
                <w:sz w:val="18"/>
                <w:szCs w:val="18"/>
              </w:rPr>
              <w:t xml:space="preserve">Ar galima išimti šį reikalavimą? PGP2 jo nėra. Jeigu ne, ar turite </w:t>
            </w:r>
            <w:proofErr w:type="spellStart"/>
            <w:r w:rsidRPr="00E24173">
              <w:rPr>
                <w:rFonts w:ascii="Times New Roman" w:hAnsi="Times New Roman" w:cs="Times New Roman"/>
                <w:sz w:val="18"/>
                <w:szCs w:val="18"/>
              </w:rPr>
              <w:t>Creditinfo</w:t>
            </w:r>
            <w:proofErr w:type="spellEnd"/>
            <w:r w:rsidRPr="00E24173">
              <w:rPr>
                <w:rFonts w:ascii="Times New Roman" w:hAnsi="Times New Roman" w:cs="Times New Roman"/>
                <w:sz w:val="18"/>
                <w:szCs w:val="18"/>
              </w:rPr>
              <w:t xml:space="preserve"> ir </w:t>
            </w:r>
            <w:proofErr w:type="spellStart"/>
            <w:r w:rsidRPr="00E24173">
              <w:rPr>
                <w:rFonts w:ascii="Times New Roman" w:hAnsi="Times New Roman" w:cs="Times New Roman"/>
                <w:sz w:val="18"/>
                <w:szCs w:val="18"/>
              </w:rPr>
              <w:t>Scorify</w:t>
            </w:r>
            <w:proofErr w:type="spellEnd"/>
            <w:r w:rsidRPr="00E24173">
              <w:rPr>
                <w:rFonts w:ascii="Times New Roman" w:hAnsi="Times New Roman" w:cs="Times New Roman"/>
                <w:sz w:val="18"/>
                <w:szCs w:val="18"/>
              </w:rPr>
              <w:t xml:space="preserve"> naudojamų PD prilyginamą B- ir B3 kategorijoms?</w:t>
            </w:r>
          </w:p>
        </w:tc>
        <w:tc>
          <w:tcPr>
            <w:tcW w:w="4820" w:type="dxa"/>
          </w:tcPr>
          <w:p w:rsidR="004C32B5" w:rsidRDefault="004C32B5" w:rsidP="00575D8E">
            <w:pPr>
              <w:jc w:val="both"/>
              <w:rPr>
                <w:rFonts w:ascii="Times New Roman" w:hAnsi="Times New Roman" w:cs="Times New Roman"/>
                <w:sz w:val="18"/>
                <w:szCs w:val="18"/>
              </w:rPr>
            </w:pPr>
            <w:r>
              <w:rPr>
                <w:rFonts w:ascii="Times New Roman" w:hAnsi="Times New Roman" w:cs="Times New Roman"/>
                <w:sz w:val="18"/>
                <w:szCs w:val="18"/>
              </w:rPr>
              <w:t>Neatsižvelgta</w:t>
            </w:r>
          </w:p>
          <w:p w:rsidR="004C32B5" w:rsidRDefault="004C32B5" w:rsidP="009F4A33">
            <w:pPr>
              <w:jc w:val="both"/>
              <w:rPr>
                <w:rFonts w:ascii="Times New Roman" w:hAnsi="Times New Roman" w:cs="Times New Roman"/>
                <w:sz w:val="18"/>
                <w:szCs w:val="18"/>
              </w:rPr>
            </w:pPr>
          </w:p>
          <w:p w:rsidR="004C32B5" w:rsidRDefault="004C32B5" w:rsidP="009F4A33">
            <w:pPr>
              <w:jc w:val="both"/>
              <w:rPr>
                <w:rFonts w:ascii="Times New Roman" w:hAnsi="Times New Roman" w:cs="Times New Roman"/>
                <w:sz w:val="18"/>
                <w:szCs w:val="18"/>
              </w:rPr>
            </w:pPr>
            <w:r>
              <w:rPr>
                <w:rFonts w:ascii="Times New Roman" w:hAnsi="Times New Roman" w:cs="Times New Roman"/>
                <w:sz w:val="18"/>
                <w:szCs w:val="18"/>
              </w:rPr>
              <w:t xml:space="preserve">Kadangi PGF2 priemonėje yra nustatyta faktoringo gavėjų, kuriems nustatytas </w:t>
            </w:r>
            <w:r w:rsidRPr="00E24173">
              <w:rPr>
                <w:rFonts w:ascii="Times New Roman" w:hAnsi="Times New Roman" w:cs="Times New Roman"/>
                <w:sz w:val="18"/>
                <w:szCs w:val="18"/>
              </w:rPr>
              <w:t xml:space="preserve"> „B-</w:t>
            </w:r>
            <w:r>
              <w:rPr>
                <w:rFonts w:ascii="Times New Roman" w:hAnsi="Times New Roman" w:cs="Times New Roman"/>
                <w:sz w:val="18"/>
                <w:szCs w:val="18"/>
              </w:rPr>
              <w:t> </w:t>
            </w:r>
            <w:r w:rsidRPr="00E24173">
              <w:rPr>
                <w:rFonts w:ascii="Times New Roman" w:hAnsi="Times New Roman" w:cs="Times New Roman"/>
                <w:sz w:val="18"/>
                <w:szCs w:val="18"/>
              </w:rPr>
              <w:t>“ ar „B3“ reitinga</w:t>
            </w:r>
            <w:r>
              <w:rPr>
                <w:rFonts w:ascii="Times New Roman" w:hAnsi="Times New Roman" w:cs="Times New Roman"/>
                <w:sz w:val="18"/>
                <w:szCs w:val="18"/>
              </w:rPr>
              <w:t>s, maksimali koncentracija portfelyje, tad reikalinga žinoti kaip kiekvieno skirtingo finansų tarpininko turima klientų rizikos vertinimo ir reitingavimo sistema galėtų būti prilyginama visuotinai pažįstamai ir priimtinai reitingavimo sistemai.</w:t>
            </w:r>
          </w:p>
          <w:p w:rsidR="004C32B5" w:rsidRDefault="004C32B5" w:rsidP="00E35A4B">
            <w:pPr>
              <w:jc w:val="both"/>
              <w:rPr>
                <w:rFonts w:ascii="Times New Roman" w:hAnsi="Times New Roman" w:cs="Times New Roman"/>
                <w:sz w:val="18"/>
                <w:szCs w:val="18"/>
              </w:rPr>
            </w:pPr>
            <w:proofErr w:type="spellStart"/>
            <w:r w:rsidRPr="00E24173">
              <w:rPr>
                <w:rFonts w:ascii="Times New Roman" w:hAnsi="Times New Roman" w:cs="Times New Roman"/>
                <w:sz w:val="18"/>
                <w:szCs w:val="18"/>
              </w:rPr>
              <w:t>Creditinfo</w:t>
            </w:r>
            <w:proofErr w:type="spellEnd"/>
            <w:r w:rsidRPr="00E24173">
              <w:rPr>
                <w:rFonts w:ascii="Times New Roman" w:hAnsi="Times New Roman" w:cs="Times New Roman"/>
                <w:sz w:val="18"/>
                <w:szCs w:val="18"/>
              </w:rPr>
              <w:t xml:space="preserve"> ir </w:t>
            </w:r>
            <w:proofErr w:type="spellStart"/>
            <w:r w:rsidRPr="00E24173">
              <w:rPr>
                <w:rFonts w:ascii="Times New Roman" w:hAnsi="Times New Roman" w:cs="Times New Roman"/>
                <w:sz w:val="18"/>
                <w:szCs w:val="18"/>
              </w:rPr>
              <w:t>Scorify</w:t>
            </w:r>
            <w:proofErr w:type="spellEnd"/>
            <w:r w:rsidRPr="00E24173">
              <w:rPr>
                <w:rFonts w:ascii="Times New Roman" w:hAnsi="Times New Roman" w:cs="Times New Roman"/>
                <w:sz w:val="18"/>
                <w:szCs w:val="18"/>
              </w:rPr>
              <w:t xml:space="preserve"> </w:t>
            </w:r>
            <w:r>
              <w:rPr>
                <w:rFonts w:ascii="Times New Roman" w:hAnsi="Times New Roman" w:cs="Times New Roman"/>
                <w:sz w:val="18"/>
                <w:szCs w:val="18"/>
              </w:rPr>
              <w:t>reitingų</w:t>
            </w:r>
            <w:r w:rsidRPr="00E24173">
              <w:rPr>
                <w:rFonts w:ascii="Times New Roman" w:hAnsi="Times New Roman" w:cs="Times New Roman"/>
                <w:sz w:val="18"/>
                <w:szCs w:val="18"/>
              </w:rPr>
              <w:t xml:space="preserve"> </w:t>
            </w:r>
            <w:proofErr w:type="spellStart"/>
            <w:r w:rsidRPr="00E24173">
              <w:rPr>
                <w:rFonts w:ascii="Times New Roman" w:hAnsi="Times New Roman" w:cs="Times New Roman"/>
                <w:sz w:val="18"/>
                <w:szCs w:val="18"/>
              </w:rPr>
              <w:t>prilyginam</w:t>
            </w:r>
            <w:r>
              <w:rPr>
                <w:rFonts w:ascii="Times New Roman" w:hAnsi="Times New Roman" w:cs="Times New Roman"/>
                <w:sz w:val="18"/>
                <w:szCs w:val="18"/>
              </w:rPr>
              <w:t>ui</w:t>
            </w:r>
            <w:proofErr w:type="spellEnd"/>
            <w:r w:rsidRPr="00E24173">
              <w:rPr>
                <w:rFonts w:ascii="Times New Roman" w:hAnsi="Times New Roman" w:cs="Times New Roman"/>
                <w:sz w:val="18"/>
                <w:szCs w:val="18"/>
              </w:rPr>
              <w:t xml:space="preserve"> „B-</w:t>
            </w:r>
            <w:r>
              <w:rPr>
                <w:rFonts w:ascii="Times New Roman" w:hAnsi="Times New Roman" w:cs="Times New Roman"/>
                <w:sz w:val="18"/>
                <w:szCs w:val="18"/>
              </w:rPr>
              <w:t> </w:t>
            </w:r>
            <w:r w:rsidRPr="00E24173">
              <w:rPr>
                <w:rFonts w:ascii="Times New Roman" w:hAnsi="Times New Roman" w:cs="Times New Roman"/>
                <w:sz w:val="18"/>
                <w:szCs w:val="18"/>
              </w:rPr>
              <w:t>“ ar „B3“ kategorijoms</w:t>
            </w:r>
            <w:r>
              <w:rPr>
                <w:rFonts w:ascii="Times New Roman" w:hAnsi="Times New Roman" w:cs="Times New Roman"/>
                <w:sz w:val="18"/>
                <w:szCs w:val="18"/>
              </w:rPr>
              <w:t xml:space="preserve"> neturime. Be to, manome, kad Jūsų faktoringo gavėjų kredito rizikos ir vertinimo metodikoje atsižvelgiama ne tik į </w:t>
            </w:r>
            <w:r w:rsidRPr="00E24173">
              <w:rPr>
                <w:rFonts w:ascii="Times New Roman" w:hAnsi="Times New Roman" w:cs="Times New Roman"/>
                <w:sz w:val="18"/>
                <w:szCs w:val="18"/>
              </w:rPr>
              <w:t xml:space="preserve"> </w:t>
            </w:r>
            <w:proofErr w:type="spellStart"/>
            <w:r w:rsidRPr="00E24173">
              <w:rPr>
                <w:rFonts w:ascii="Times New Roman" w:hAnsi="Times New Roman" w:cs="Times New Roman"/>
                <w:sz w:val="18"/>
                <w:szCs w:val="18"/>
              </w:rPr>
              <w:t>Creditinfo</w:t>
            </w:r>
            <w:proofErr w:type="spellEnd"/>
            <w:r w:rsidRPr="00E24173">
              <w:rPr>
                <w:rFonts w:ascii="Times New Roman" w:hAnsi="Times New Roman" w:cs="Times New Roman"/>
                <w:sz w:val="18"/>
                <w:szCs w:val="18"/>
              </w:rPr>
              <w:t xml:space="preserve"> ir </w:t>
            </w:r>
            <w:proofErr w:type="spellStart"/>
            <w:r w:rsidRPr="00E24173">
              <w:rPr>
                <w:rFonts w:ascii="Times New Roman" w:hAnsi="Times New Roman" w:cs="Times New Roman"/>
                <w:sz w:val="18"/>
                <w:szCs w:val="18"/>
              </w:rPr>
              <w:t>Scorify</w:t>
            </w:r>
            <w:proofErr w:type="spellEnd"/>
            <w:r>
              <w:rPr>
                <w:rFonts w:ascii="Times New Roman" w:hAnsi="Times New Roman" w:cs="Times New Roman"/>
                <w:sz w:val="18"/>
                <w:szCs w:val="18"/>
              </w:rPr>
              <w:t xml:space="preserve"> informaciją, bet ir kitą Jūsų turimą informaciją apie kliento, jo pirkėjų finansinę padėtį, siūlomas užtikrinimo priemones</w:t>
            </w:r>
          </w:p>
        </w:tc>
      </w:tr>
      <w:tr w:rsidR="004C32B5" w:rsidRPr="00E751C4" w:rsidTr="00422CE1">
        <w:tc>
          <w:tcPr>
            <w:tcW w:w="562"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12.</w:t>
            </w:r>
          </w:p>
        </w:tc>
        <w:tc>
          <w:tcPr>
            <w:tcW w:w="4536" w:type="dxa"/>
          </w:tcPr>
          <w:p w:rsidR="004C32B5" w:rsidRDefault="004C32B5" w:rsidP="00E64588">
            <w:pPr>
              <w:jc w:val="both"/>
              <w:rPr>
                <w:rFonts w:ascii="Times New Roman" w:hAnsi="Times New Roman" w:cs="Times New Roman"/>
                <w:b/>
                <w:sz w:val="18"/>
                <w:szCs w:val="18"/>
              </w:rPr>
            </w:pPr>
            <w:r w:rsidRPr="00E24173">
              <w:rPr>
                <w:rFonts w:ascii="Times New Roman" w:hAnsi="Times New Roman" w:cs="Times New Roman"/>
                <w:b/>
                <w:sz w:val="18"/>
                <w:szCs w:val="18"/>
              </w:rPr>
              <w:t>Faktoringo sandorių, įtraukiamų į Portfelį, tinkamumo sąlygos</w:t>
            </w:r>
          </w:p>
          <w:p w:rsidR="004C32B5" w:rsidRDefault="004C32B5" w:rsidP="00E24173">
            <w:pPr>
              <w:jc w:val="both"/>
              <w:rPr>
                <w:rFonts w:ascii="Times New Roman" w:hAnsi="Times New Roman" w:cs="Times New Roman"/>
                <w:sz w:val="18"/>
                <w:szCs w:val="18"/>
              </w:rPr>
            </w:pPr>
            <w:r w:rsidRPr="00475D0C">
              <w:rPr>
                <w:rFonts w:ascii="Times New Roman" w:hAnsi="Times New Roman" w:cs="Times New Roman"/>
                <w:sz w:val="18"/>
                <w:szCs w:val="18"/>
              </w:rPr>
              <w:t>1</w:t>
            </w:r>
            <w:r>
              <w:rPr>
                <w:rFonts w:ascii="Times New Roman" w:hAnsi="Times New Roman" w:cs="Times New Roman"/>
                <w:sz w:val="18"/>
                <w:szCs w:val="18"/>
              </w:rPr>
              <w:t>...</w:t>
            </w:r>
          </w:p>
          <w:p w:rsidR="004C32B5" w:rsidRPr="00E24173" w:rsidRDefault="004C32B5" w:rsidP="00E24173">
            <w:pPr>
              <w:jc w:val="both"/>
              <w:rPr>
                <w:rFonts w:ascii="Times New Roman" w:hAnsi="Times New Roman" w:cs="Times New Roman"/>
                <w:sz w:val="18"/>
                <w:szCs w:val="18"/>
              </w:rPr>
            </w:pPr>
            <w:r w:rsidRPr="00E24173">
              <w:rPr>
                <w:rFonts w:ascii="Times New Roman" w:hAnsi="Times New Roman" w:cs="Times New Roman"/>
                <w:sz w:val="18"/>
                <w:szCs w:val="18"/>
              </w:rPr>
              <w:t xml:space="preserve">3. Finansavimas Faktoringo sandorio forma gali būti skirtas tik potencialiai ekonomiškai gyvybingoms veikloms; </w:t>
            </w:r>
          </w:p>
          <w:p w:rsidR="004C32B5" w:rsidRPr="00E24173" w:rsidRDefault="004C32B5" w:rsidP="00E24173">
            <w:pPr>
              <w:jc w:val="both"/>
              <w:rPr>
                <w:rFonts w:ascii="Times New Roman" w:hAnsi="Times New Roman" w:cs="Times New Roman"/>
                <w:b/>
                <w:sz w:val="18"/>
                <w:szCs w:val="18"/>
              </w:rPr>
            </w:pPr>
            <w:r>
              <w:rPr>
                <w:rFonts w:ascii="Times New Roman" w:hAnsi="Times New Roman" w:cs="Times New Roman"/>
                <w:b/>
                <w:sz w:val="18"/>
                <w:szCs w:val="18"/>
              </w:rPr>
              <w:t>...</w:t>
            </w:r>
          </w:p>
        </w:tc>
        <w:tc>
          <w:tcPr>
            <w:tcW w:w="4819" w:type="dxa"/>
          </w:tcPr>
          <w:p w:rsidR="004C32B5" w:rsidRPr="00E24173" w:rsidRDefault="004C32B5" w:rsidP="00832AA1">
            <w:pPr>
              <w:jc w:val="both"/>
              <w:rPr>
                <w:rFonts w:ascii="Times New Roman" w:hAnsi="Times New Roman" w:cs="Times New Roman"/>
                <w:sz w:val="18"/>
                <w:szCs w:val="18"/>
              </w:rPr>
            </w:pPr>
            <w:r w:rsidRPr="00E24173">
              <w:rPr>
                <w:rFonts w:ascii="Times New Roman" w:hAnsi="Times New Roman" w:cs="Times New Roman"/>
                <w:sz w:val="18"/>
                <w:szCs w:val="18"/>
              </w:rPr>
              <w:t>Ką šita sąlyga reiškia praktiškai?</w:t>
            </w:r>
          </w:p>
        </w:tc>
        <w:tc>
          <w:tcPr>
            <w:tcW w:w="4820" w:type="dxa"/>
          </w:tcPr>
          <w:p w:rsidR="004C32B5" w:rsidRDefault="004C32B5" w:rsidP="00E35A4B">
            <w:pPr>
              <w:jc w:val="both"/>
              <w:rPr>
                <w:rFonts w:ascii="Times New Roman" w:hAnsi="Times New Roman" w:cs="Times New Roman"/>
                <w:sz w:val="18"/>
                <w:szCs w:val="18"/>
              </w:rPr>
            </w:pPr>
            <w:r>
              <w:rPr>
                <w:rFonts w:ascii="Times New Roman" w:hAnsi="Times New Roman" w:cs="Times New Roman"/>
                <w:sz w:val="18"/>
                <w:szCs w:val="18"/>
              </w:rPr>
              <w:t xml:space="preserve">Ši sąlyga reiškia, kad </w:t>
            </w:r>
            <w:proofErr w:type="spellStart"/>
            <w:r>
              <w:rPr>
                <w:rFonts w:ascii="Times New Roman" w:hAnsi="Times New Roman" w:cs="Times New Roman"/>
                <w:sz w:val="18"/>
                <w:szCs w:val="18"/>
              </w:rPr>
              <w:t>faktoringuojamas</w:t>
            </w:r>
            <w:proofErr w:type="spellEnd"/>
            <w:r>
              <w:rPr>
                <w:rFonts w:ascii="Times New Roman" w:hAnsi="Times New Roman" w:cs="Times New Roman"/>
                <w:sz w:val="18"/>
                <w:szCs w:val="18"/>
              </w:rPr>
              <w:t xml:space="preserve"> klientas yra gyvybingas, vykdo savo veiklą (gamina, parduoda prekes, teikia paslaugas), </w:t>
            </w:r>
            <w:proofErr w:type="spellStart"/>
            <w:r>
              <w:rPr>
                <w:rFonts w:ascii="Times New Roman" w:hAnsi="Times New Roman" w:cs="Times New Roman"/>
                <w:sz w:val="18"/>
                <w:szCs w:val="18"/>
              </w:rPr>
              <w:t>faktoringuojamos</w:t>
            </w:r>
            <w:proofErr w:type="spellEnd"/>
            <w:r>
              <w:rPr>
                <w:rFonts w:ascii="Times New Roman" w:hAnsi="Times New Roman" w:cs="Times New Roman"/>
                <w:sz w:val="18"/>
                <w:szCs w:val="18"/>
              </w:rPr>
              <w:t xml:space="preserve"> sąskaitos faktūros yra išrašytos gyvybingam pirkėjui</w:t>
            </w:r>
          </w:p>
        </w:tc>
      </w:tr>
      <w:tr w:rsidR="004C32B5" w:rsidRPr="00E751C4" w:rsidTr="00422CE1">
        <w:tc>
          <w:tcPr>
            <w:tcW w:w="562" w:type="dxa"/>
          </w:tcPr>
          <w:p w:rsidR="004C32B5" w:rsidRDefault="004C32B5" w:rsidP="00E64588">
            <w:pPr>
              <w:jc w:val="both"/>
              <w:rPr>
                <w:rFonts w:ascii="Times New Roman" w:hAnsi="Times New Roman" w:cs="Times New Roman"/>
                <w:sz w:val="18"/>
                <w:szCs w:val="18"/>
              </w:rPr>
            </w:pPr>
            <w:r>
              <w:rPr>
                <w:rFonts w:ascii="Times New Roman" w:hAnsi="Times New Roman" w:cs="Times New Roman"/>
                <w:sz w:val="18"/>
                <w:szCs w:val="18"/>
              </w:rPr>
              <w:t>13.</w:t>
            </w:r>
          </w:p>
        </w:tc>
        <w:tc>
          <w:tcPr>
            <w:tcW w:w="4536" w:type="dxa"/>
          </w:tcPr>
          <w:p w:rsidR="004C32B5" w:rsidRDefault="004C32B5" w:rsidP="00E64588">
            <w:pPr>
              <w:jc w:val="both"/>
              <w:rPr>
                <w:rFonts w:ascii="Times New Roman" w:hAnsi="Times New Roman" w:cs="Times New Roman"/>
                <w:b/>
                <w:sz w:val="18"/>
                <w:szCs w:val="18"/>
              </w:rPr>
            </w:pPr>
            <w:r w:rsidRPr="00E24173">
              <w:rPr>
                <w:rFonts w:ascii="Times New Roman" w:hAnsi="Times New Roman" w:cs="Times New Roman"/>
                <w:b/>
                <w:sz w:val="18"/>
                <w:szCs w:val="18"/>
              </w:rPr>
              <w:t>Portfelio tinkamumo sąlygos</w:t>
            </w:r>
          </w:p>
          <w:p w:rsidR="004C32B5" w:rsidRPr="00E24173" w:rsidRDefault="004C32B5" w:rsidP="00E64588">
            <w:pPr>
              <w:jc w:val="both"/>
              <w:rPr>
                <w:rFonts w:ascii="Times New Roman" w:hAnsi="Times New Roman" w:cs="Times New Roman"/>
                <w:sz w:val="18"/>
                <w:szCs w:val="18"/>
              </w:rPr>
            </w:pPr>
            <w:r w:rsidRPr="00E24173">
              <w:rPr>
                <w:rFonts w:ascii="Times New Roman" w:hAnsi="Times New Roman" w:cs="Times New Roman"/>
                <w:sz w:val="18"/>
                <w:szCs w:val="18"/>
              </w:rPr>
              <w:t>1….</w:t>
            </w:r>
          </w:p>
          <w:p w:rsidR="004C32B5" w:rsidRDefault="004C32B5" w:rsidP="00E64588">
            <w:pPr>
              <w:jc w:val="both"/>
              <w:rPr>
                <w:rFonts w:ascii="Times New Roman" w:hAnsi="Times New Roman" w:cs="Times New Roman"/>
                <w:sz w:val="18"/>
                <w:szCs w:val="18"/>
              </w:rPr>
            </w:pPr>
            <w:r w:rsidRPr="00E24173">
              <w:rPr>
                <w:rFonts w:ascii="Times New Roman" w:hAnsi="Times New Roman" w:cs="Times New Roman"/>
                <w:sz w:val="18"/>
                <w:szCs w:val="18"/>
              </w:rPr>
              <w:t>2.</w:t>
            </w:r>
            <w:r>
              <w:rPr>
                <w:rFonts w:ascii="Times New Roman" w:hAnsi="Times New Roman" w:cs="Times New Roman"/>
                <w:b/>
                <w:sz w:val="18"/>
                <w:szCs w:val="18"/>
              </w:rPr>
              <w:t xml:space="preserve"> </w:t>
            </w:r>
            <w:r w:rsidRPr="00E24173">
              <w:rPr>
                <w:rFonts w:ascii="Times New Roman" w:hAnsi="Times New Roman" w:cs="Times New Roman"/>
                <w:sz w:val="18"/>
                <w:szCs w:val="18"/>
              </w:rPr>
              <w:t>Faktoringo sandorių, kur MVĮ vertinami „B-“ ar „B3“ (*) reitingu koncentracija pagal Faktoringo limitą Portfelyje negali būti didesnė kaip 50 proc. Sutartyje numatyto Sutarto Portfelio sumos. Esant poreikiui ir (arba) pateikus pagrindimą, taip pat PGF2 priemonės valdytojui kreipiantis į „</w:t>
            </w:r>
            <w:proofErr w:type="spellStart"/>
            <w:r w:rsidRPr="00E24173">
              <w:rPr>
                <w:rFonts w:ascii="Times New Roman" w:hAnsi="Times New Roman" w:cs="Times New Roman"/>
                <w:sz w:val="18"/>
                <w:szCs w:val="18"/>
              </w:rPr>
              <w:t>Invegą</w:t>
            </w:r>
            <w:proofErr w:type="spellEnd"/>
            <w:r w:rsidRPr="00E24173">
              <w:rPr>
                <w:rFonts w:ascii="Times New Roman" w:hAnsi="Times New Roman" w:cs="Times New Roman"/>
                <w:sz w:val="18"/>
                <w:szCs w:val="18"/>
              </w:rPr>
              <w:t>“ su motyvuotu prašymu, ši koncentracija Portfelyje gali būti padidinta.</w:t>
            </w:r>
          </w:p>
          <w:p w:rsidR="004C32B5" w:rsidRPr="00E24173" w:rsidRDefault="004C32B5" w:rsidP="00E64588">
            <w:pPr>
              <w:jc w:val="both"/>
              <w:rPr>
                <w:rFonts w:ascii="Times New Roman" w:hAnsi="Times New Roman" w:cs="Times New Roman"/>
                <w:b/>
                <w:sz w:val="18"/>
                <w:szCs w:val="18"/>
              </w:rPr>
            </w:pPr>
            <w:r>
              <w:rPr>
                <w:rFonts w:ascii="Times New Roman" w:hAnsi="Times New Roman" w:cs="Times New Roman"/>
                <w:sz w:val="18"/>
                <w:szCs w:val="18"/>
              </w:rPr>
              <w:t>...</w:t>
            </w:r>
          </w:p>
        </w:tc>
        <w:tc>
          <w:tcPr>
            <w:tcW w:w="4819" w:type="dxa"/>
          </w:tcPr>
          <w:p w:rsidR="004C32B5" w:rsidRPr="00E24173" w:rsidRDefault="004C32B5" w:rsidP="00832AA1">
            <w:pPr>
              <w:jc w:val="both"/>
              <w:rPr>
                <w:rFonts w:ascii="Times New Roman" w:hAnsi="Times New Roman" w:cs="Times New Roman"/>
                <w:sz w:val="18"/>
                <w:szCs w:val="18"/>
              </w:rPr>
            </w:pPr>
            <w:r w:rsidRPr="00E24173">
              <w:rPr>
                <w:rFonts w:ascii="Times New Roman" w:hAnsi="Times New Roman" w:cs="Times New Roman"/>
                <w:sz w:val="18"/>
                <w:szCs w:val="18"/>
              </w:rPr>
              <w:t>Kitaip tariant, pusė portfelio turi būti geresnės rizikos klasės?</w:t>
            </w:r>
          </w:p>
        </w:tc>
        <w:tc>
          <w:tcPr>
            <w:tcW w:w="4820" w:type="dxa"/>
          </w:tcPr>
          <w:p w:rsidR="004C32B5" w:rsidRDefault="004C32B5" w:rsidP="00E35A4B">
            <w:pPr>
              <w:jc w:val="both"/>
              <w:rPr>
                <w:rFonts w:ascii="Times New Roman" w:hAnsi="Times New Roman" w:cs="Times New Roman"/>
                <w:sz w:val="18"/>
                <w:szCs w:val="18"/>
              </w:rPr>
            </w:pPr>
            <w:r>
              <w:rPr>
                <w:rFonts w:ascii="Times New Roman" w:hAnsi="Times New Roman" w:cs="Times New Roman"/>
                <w:sz w:val="18"/>
                <w:szCs w:val="18"/>
              </w:rPr>
              <w:t xml:space="preserve">Taip, </w:t>
            </w:r>
            <w:r w:rsidRPr="00E24173">
              <w:rPr>
                <w:rFonts w:ascii="Times New Roman" w:hAnsi="Times New Roman" w:cs="Times New Roman"/>
                <w:sz w:val="18"/>
                <w:szCs w:val="18"/>
              </w:rPr>
              <w:t>Faktoringo sandorių, kur MVĮ vertinami „B-“ ar „B3“ (*) reitingu koncentracija pagal Faktoringo limitą Portfelyje negali būti didesnė kaip 50 proc. Sutartyje numatyto Sutarto Portfelio sumos</w:t>
            </w:r>
            <w:r>
              <w:rPr>
                <w:rFonts w:ascii="Times New Roman" w:hAnsi="Times New Roman" w:cs="Times New Roman"/>
                <w:sz w:val="18"/>
                <w:szCs w:val="18"/>
              </w:rPr>
              <w:t>.</w:t>
            </w:r>
          </w:p>
        </w:tc>
      </w:tr>
      <w:tr w:rsidR="004C32B5" w:rsidRPr="00E751C4" w:rsidTr="00422CE1">
        <w:tc>
          <w:tcPr>
            <w:tcW w:w="562" w:type="dxa"/>
          </w:tcPr>
          <w:p w:rsidR="004C32B5" w:rsidRDefault="004C32B5" w:rsidP="002E48B9">
            <w:pPr>
              <w:jc w:val="both"/>
              <w:rPr>
                <w:rFonts w:ascii="Times New Roman" w:hAnsi="Times New Roman" w:cs="Times New Roman"/>
                <w:sz w:val="18"/>
                <w:szCs w:val="18"/>
              </w:rPr>
            </w:pPr>
            <w:r>
              <w:rPr>
                <w:rFonts w:ascii="Times New Roman" w:hAnsi="Times New Roman" w:cs="Times New Roman"/>
                <w:sz w:val="18"/>
                <w:szCs w:val="18"/>
              </w:rPr>
              <w:t>14.</w:t>
            </w:r>
          </w:p>
        </w:tc>
        <w:tc>
          <w:tcPr>
            <w:tcW w:w="4536" w:type="dxa"/>
          </w:tcPr>
          <w:p w:rsidR="004C32B5" w:rsidRDefault="004C32B5" w:rsidP="002E48B9">
            <w:pPr>
              <w:jc w:val="both"/>
              <w:rPr>
                <w:rFonts w:ascii="Times New Roman" w:hAnsi="Times New Roman" w:cs="Times New Roman"/>
                <w:b/>
                <w:sz w:val="18"/>
                <w:szCs w:val="18"/>
              </w:rPr>
            </w:pPr>
            <w:r w:rsidRPr="00C70DA0">
              <w:rPr>
                <w:rFonts w:ascii="Times New Roman" w:hAnsi="Times New Roman" w:cs="Times New Roman"/>
                <w:b/>
                <w:sz w:val="18"/>
                <w:szCs w:val="18"/>
              </w:rPr>
              <w:t>Portfelis</w:t>
            </w:r>
          </w:p>
          <w:p w:rsidR="004C32B5" w:rsidRPr="00C70DA0" w:rsidRDefault="004C32B5" w:rsidP="002E48B9">
            <w:pPr>
              <w:jc w:val="both"/>
              <w:rPr>
                <w:rFonts w:ascii="Times New Roman" w:hAnsi="Times New Roman" w:cs="Times New Roman"/>
                <w:sz w:val="18"/>
                <w:szCs w:val="18"/>
              </w:rPr>
            </w:pPr>
            <w:r w:rsidRPr="00C70DA0">
              <w:rPr>
                <w:rFonts w:ascii="Times New Roman" w:hAnsi="Times New Roman" w:cs="Times New Roman"/>
                <w:sz w:val="18"/>
                <w:szCs w:val="18"/>
              </w:rPr>
              <w:t>Faktoringo sandorių, atitinkančių PGF2 priemonės Tinkamumo sąlygas, Faktoringo limitų suma</w:t>
            </w:r>
          </w:p>
        </w:tc>
        <w:tc>
          <w:tcPr>
            <w:tcW w:w="4819" w:type="dxa"/>
          </w:tcPr>
          <w:p w:rsidR="004C32B5" w:rsidRPr="002E48B9" w:rsidRDefault="004C32B5" w:rsidP="002E48B9">
            <w:pPr>
              <w:jc w:val="both"/>
              <w:rPr>
                <w:rFonts w:ascii="Times New Roman" w:hAnsi="Times New Roman" w:cs="Times New Roman"/>
                <w:sz w:val="18"/>
                <w:szCs w:val="18"/>
              </w:rPr>
            </w:pPr>
            <w:r w:rsidRPr="002E48B9">
              <w:rPr>
                <w:rFonts w:ascii="Times New Roman" w:hAnsi="Times New Roman" w:cs="Times New Roman"/>
                <w:sz w:val="18"/>
                <w:szCs w:val="18"/>
              </w:rPr>
              <w:t>Viso esamo Portfelio skaičiavimas bet kuriuo momentu. Šiuo metu portfelis skaičiuojamas akumuliuojant visas išmokėtas sumas ir pridedant naujas išmokamas sumas, tačiau jo absoliutus dydis nemažinamas, kai koks nors limitas pasibaigia (sutartis su tokiu klientu pasibaigia).</w:t>
            </w:r>
          </w:p>
          <w:p w:rsidR="004C32B5" w:rsidRPr="002E48B9" w:rsidRDefault="004C32B5" w:rsidP="002E48B9">
            <w:pPr>
              <w:jc w:val="both"/>
              <w:rPr>
                <w:rFonts w:ascii="Times New Roman" w:hAnsi="Times New Roman" w:cs="Times New Roman"/>
                <w:sz w:val="18"/>
                <w:szCs w:val="18"/>
              </w:rPr>
            </w:pPr>
          </w:p>
          <w:p w:rsidR="004C32B5" w:rsidRPr="002E48B9" w:rsidRDefault="004C32B5" w:rsidP="002E48B9">
            <w:pPr>
              <w:jc w:val="both"/>
              <w:rPr>
                <w:rFonts w:ascii="Times New Roman" w:hAnsi="Times New Roman" w:cs="Times New Roman"/>
                <w:sz w:val="18"/>
                <w:szCs w:val="18"/>
              </w:rPr>
            </w:pPr>
            <w:r w:rsidRPr="002E48B9">
              <w:rPr>
                <w:rFonts w:ascii="Times New Roman" w:hAnsi="Times New Roman" w:cs="Times New Roman"/>
                <w:sz w:val="18"/>
                <w:szCs w:val="18"/>
              </w:rPr>
              <w:t>Geriausia būtų, jog portfelio dydis būtų kintantis. Sudarius naują sutartį su faktoringo limitu, tokia sutartis įtraukiama į Portfelį ir Portfelis didėja. Pasibaigus sutarčiai, sutartis iš Portfelio išimama ir Portfelis mažėja. Manome, kad šios priemonės atveju teisingiau būtų taikomas laiko limitas, o ne visų sudarytų sandorių limitas. Pasibaigus atitinkamam laikotarpiui, Invega galės vertinti, ar Portfelis visu galiojimo metu išliko tinkamos ir priimtinos kokybės.</w:t>
            </w:r>
          </w:p>
          <w:p w:rsidR="004C32B5" w:rsidRPr="002E48B9" w:rsidRDefault="004C32B5" w:rsidP="002E48B9">
            <w:pPr>
              <w:jc w:val="both"/>
              <w:rPr>
                <w:rFonts w:ascii="Times New Roman" w:hAnsi="Times New Roman" w:cs="Times New Roman"/>
                <w:sz w:val="18"/>
                <w:szCs w:val="18"/>
              </w:rPr>
            </w:pPr>
          </w:p>
          <w:p w:rsidR="004C32B5" w:rsidRPr="00E24173" w:rsidRDefault="004C32B5" w:rsidP="002E48B9">
            <w:pPr>
              <w:jc w:val="both"/>
              <w:rPr>
                <w:rFonts w:ascii="Times New Roman" w:hAnsi="Times New Roman" w:cs="Times New Roman"/>
                <w:sz w:val="18"/>
                <w:szCs w:val="18"/>
              </w:rPr>
            </w:pPr>
            <w:r w:rsidRPr="002E48B9">
              <w:rPr>
                <w:rFonts w:ascii="Times New Roman" w:hAnsi="Times New Roman" w:cs="Times New Roman"/>
                <w:sz w:val="18"/>
                <w:szCs w:val="18"/>
              </w:rPr>
              <w:t>Tuo pačiu reikėtų atsieti portfelio dydžio skaičiavimą nuo išmokos mokėjimo sumos. Išmokos dydis turėtų būti skaičiuojamas nuo maksimalaus galimo, bet ne faktinio portfelio dydžio, ar bent jau nuo portfelio dydžio padauginto iš koeficiento.</w:t>
            </w:r>
          </w:p>
        </w:tc>
        <w:tc>
          <w:tcPr>
            <w:tcW w:w="4820" w:type="dxa"/>
          </w:tcPr>
          <w:p w:rsidR="004C32B5" w:rsidRDefault="004C32B5" w:rsidP="00575D8E">
            <w:pPr>
              <w:jc w:val="both"/>
              <w:rPr>
                <w:rFonts w:ascii="Times New Roman" w:hAnsi="Times New Roman" w:cs="Times New Roman"/>
                <w:sz w:val="18"/>
                <w:szCs w:val="18"/>
              </w:rPr>
            </w:pPr>
            <w:r>
              <w:rPr>
                <w:rFonts w:ascii="Times New Roman" w:hAnsi="Times New Roman" w:cs="Times New Roman"/>
                <w:sz w:val="18"/>
                <w:szCs w:val="18"/>
              </w:rPr>
              <w:t>Neatsižvelgta</w:t>
            </w:r>
          </w:p>
          <w:p w:rsidR="004C32B5" w:rsidRDefault="004C32B5" w:rsidP="00C70DA0">
            <w:pPr>
              <w:jc w:val="both"/>
              <w:rPr>
                <w:rFonts w:ascii="Times New Roman" w:hAnsi="Times New Roman" w:cs="Times New Roman"/>
                <w:sz w:val="18"/>
                <w:szCs w:val="18"/>
              </w:rPr>
            </w:pPr>
          </w:p>
          <w:p w:rsidR="004C32B5" w:rsidRDefault="004C32B5" w:rsidP="00C70DA0">
            <w:pPr>
              <w:jc w:val="both"/>
              <w:rPr>
                <w:rFonts w:ascii="Times New Roman" w:hAnsi="Times New Roman" w:cs="Times New Roman"/>
                <w:sz w:val="18"/>
                <w:szCs w:val="18"/>
              </w:rPr>
            </w:pPr>
            <w:r w:rsidRPr="00C70DA0">
              <w:rPr>
                <w:rFonts w:ascii="Times New Roman" w:hAnsi="Times New Roman" w:cs="Times New Roman"/>
                <w:sz w:val="18"/>
                <w:szCs w:val="18"/>
              </w:rPr>
              <w:t xml:space="preserve">Jūsų siūloma </w:t>
            </w:r>
            <w:r>
              <w:rPr>
                <w:rFonts w:ascii="Times New Roman" w:hAnsi="Times New Roman" w:cs="Times New Roman"/>
                <w:sz w:val="18"/>
                <w:szCs w:val="18"/>
              </w:rPr>
              <w:t xml:space="preserve">„atsinaujinančio portfelio“ </w:t>
            </w:r>
            <w:r w:rsidRPr="00C70DA0">
              <w:rPr>
                <w:rFonts w:ascii="Times New Roman" w:hAnsi="Times New Roman" w:cs="Times New Roman"/>
                <w:sz w:val="18"/>
                <w:szCs w:val="18"/>
              </w:rPr>
              <w:t xml:space="preserve">schema visiškai pakeistų PGF2 priemonės konstruktą. </w:t>
            </w:r>
            <w:r>
              <w:rPr>
                <w:rFonts w:ascii="Times New Roman" w:hAnsi="Times New Roman" w:cs="Times New Roman"/>
                <w:sz w:val="18"/>
                <w:szCs w:val="18"/>
              </w:rPr>
              <w:t>Siekiant operatyviai reaguoti į rinkos poreikį planuojame įgyvendinti numatytą PGF2 priemonės modelį.</w:t>
            </w:r>
          </w:p>
          <w:p w:rsidR="004C32B5" w:rsidRDefault="004C32B5" w:rsidP="00C70DA0">
            <w:pPr>
              <w:jc w:val="both"/>
              <w:rPr>
                <w:rFonts w:ascii="Times New Roman" w:hAnsi="Times New Roman" w:cs="Times New Roman"/>
                <w:sz w:val="18"/>
                <w:szCs w:val="18"/>
              </w:rPr>
            </w:pPr>
          </w:p>
          <w:p w:rsidR="004C32B5" w:rsidRPr="00EF04D9" w:rsidRDefault="004C32B5" w:rsidP="00C70DA0">
            <w:pPr>
              <w:jc w:val="both"/>
              <w:rPr>
                <w:rFonts w:ascii="Times New Roman" w:hAnsi="Times New Roman" w:cs="Times New Roman"/>
                <w:sz w:val="18"/>
                <w:szCs w:val="18"/>
              </w:rPr>
            </w:pPr>
          </w:p>
        </w:tc>
      </w:tr>
      <w:tr w:rsidR="004C32B5" w:rsidRPr="00E751C4" w:rsidTr="00422CE1">
        <w:trPr>
          <w:trHeight w:val="1732"/>
        </w:trPr>
        <w:tc>
          <w:tcPr>
            <w:tcW w:w="562" w:type="dxa"/>
          </w:tcPr>
          <w:p w:rsidR="004C32B5" w:rsidRDefault="004C32B5" w:rsidP="002E48B9">
            <w:pPr>
              <w:jc w:val="both"/>
              <w:rPr>
                <w:rFonts w:ascii="Times New Roman" w:hAnsi="Times New Roman" w:cs="Times New Roman"/>
                <w:sz w:val="18"/>
                <w:szCs w:val="18"/>
              </w:rPr>
            </w:pPr>
            <w:r>
              <w:rPr>
                <w:rFonts w:ascii="Times New Roman" w:hAnsi="Times New Roman" w:cs="Times New Roman"/>
                <w:sz w:val="18"/>
                <w:szCs w:val="18"/>
              </w:rPr>
              <w:t>15.</w:t>
            </w:r>
          </w:p>
        </w:tc>
        <w:tc>
          <w:tcPr>
            <w:tcW w:w="4536" w:type="dxa"/>
          </w:tcPr>
          <w:p w:rsidR="004C32B5" w:rsidRPr="002E48B9" w:rsidRDefault="004C32B5" w:rsidP="002E48B9">
            <w:pPr>
              <w:jc w:val="both"/>
              <w:rPr>
                <w:rFonts w:ascii="Times New Roman" w:hAnsi="Times New Roman" w:cs="Times New Roman"/>
                <w:b/>
                <w:sz w:val="18"/>
                <w:szCs w:val="18"/>
              </w:rPr>
            </w:pPr>
          </w:p>
        </w:tc>
        <w:tc>
          <w:tcPr>
            <w:tcW w:w="4819" w:type="dxa"/>
          </w:tcPr>
          <w:p w:rsidR="004C32B5" w:rsidRPr="00E24173" w:rsidRDefault="004C32B5" w:rsidP="002E48B9">
            <w:pPr>
              <w:jc w:val="both"/>
              <w:rPr>
                <w:rFonts w:ascii="Times New Roman" w:hAnsi="Times New Roman" w:cs="Times New Roman"/>
                <w:sz w:val="18"/>
                <w:szCs w:val="18"/>
              </w:rPr>
            </w:pPr>
            <w:r w:rsidRPr="002E48B9">
              <w:rPr>
                <w:rFonts w:ascii="Times New Roman" w:hAnsi="Times New Roman" w:cs="Times New Roman"/>
                <w:sz w:val="18"/>
                <w:szCs w:val="18"/>
              </w:rPr>
              <w:t>Finansuotojams būtų naudinga turėti galimybę dengti nesumokėtas palūkanas ir delspinigius iš naujai mokamų avansų (taikant kliento atsakomybę pagal sutartis). T.</w:t>
            </w:r>
            <w:r w:rsidR="001D17BF">
              <w:rPr>
                <w:rFonts w:ascii="Times New Roman" w:hAnsi="Times New Roman" w:cs="Times New Roman"/>
                <w:sz w:val="18"/>
                <w:szCs w:val="18"/>
              </w:rPr>
              <w:t xml:space="preserve"> </w:t>
            </w:r>
            <w:r w:rsidRPr="002E48B9">
              <w:rPr>
                <w:rFonts w:ascii="Times New Roman" w:hAnsi="Times New Roman" w:cs="Times New Roman"/>
                <w:sz w:val="18"/>
                <w:szCs w:val="18"/>
              </w:rPr>
              <w:t>y. avanso dydis turėtų būti mažinamas vėluojamomis sumokėti palūkanomis ir delspinigiais, jei tokių būtų prikaupta</w:t>
            </w:r>
          </w:p>
        </w:tc>
        <w:tc>
          <w:tcPr>
            <w:tcW w:w="4820" w:type="dxa"/>
            <w:shd w:val="clear" w:color="auto" w:fill="auto"/>
          </w:tcPr>
          <w:p w:rsidR="004C32B5" w:rsidRDefault="004C32B5" w:rsidP="00575D8E">
            <w:pPr>
              <w:jc w:val="both"/>
              <w:rPr>
                <w:rFonts w:ascii="Times New Roman" w:hAnsi="Times New Roman" w:cs="Times New Roman"/>
                <w:sz w:val="18"/>
                <w:szCs w:val="18"/>
              </w:rPr>
            </w:pPr>
            <w:r>
              <w:rPr>
                <w:rFonts w:ascii="Times New Roman" w:hAnsi="Times New Roman" w:cs="Times New Roman"/>
                <w:sz w:val="18"/>
                <w:szCs w:val="18"/>
              </w:rPr>
              <w:t>Neatsižvelgta</w:t>
            </w:r>
          </w:p>
          <w:p w:rsidR="004C32B5" w:rsidRDefault="004C32B5" w:rsidP="005F28F4">
            <w:pPr>
              <w:jc w:val="both"/>
              <w:rPr>
                <w:rFonts w:ascii="Times New Roman" w:hAnsi="Times New Roman" w:cs="Times New Roman"/>
                <w:sz w:val="18"/>
                <w:szCs w:val="18"/>
              </w:rPr>
            </w:pPr>
          </w:p>
          <w:p w:rsidR="004C32B5" w:rsidRDefault="004C32B5" w:rsidP="005F28F4">
            <w:pPr>
              <w:jc w:val="both"/>
              <w:rPr>
                <w:rFonts w:ascii="Times New Roman" w:hAnsi="Times New Roman" w:cs="Times New Roman"/>
                <w:sz w:val="18"/>
                <w:szCs w:val="18"/>
              </w:rPr>
            </w:pPr>
            <w:r w:rsidRPr="00C70DA0">
              <w:rPr>
                <w:rFonts w:ascii="Times New Roman" w:hAnsi="Times New Roman" w:cs="Times New Roman"/>
                <w:sz w:val="18"/>
                <w:szCs w:val="18"/>
              </w:rPr>
              <w:t>Atsižvelgiant į Finansinių priemonių išlaidų tinkamumo rekomendacijas</w:t>
            </w:r>
            <w:r>
              <w:rPr>
                <w:rFonts w:ascii="Times New Roman" w:hAnsi="Times New Roman" w:cs="Times New Roman"/>
                <w:sz w:val="18"/>
                <w:szCs w:val="18"/>
              </w:rPr>
              <w:t xml:space="preserve"> bei PGF2 priemonės tikslą,</w:t>
            </w:r>
            <w:r w:rsidRPr="00C70DA0">
              <w:rPr>
                <w:rFonts w:ascii="Times New Roman" w:hAnsi="Times New Roman" w:cs="Times New Roman"/>
                <w:sz w:val="18"/>
                <w:szCs w:val="18"/>
              </w:rPr>
              <w:t xml:space="preserve"> MVĮ finansavimui skirtos lėšos turėtų būti naudojamos įmonės veiklos plėtrai, stiprinimui ir negali būti skirtos kitų finansinių įsipareigojimų (kitų paskolų įmokų, palūkanų, delspinigių) finansavimui.</w:t>
            </w:r>
          </w:p>
        </w:tc>
      </w:tr>
      <w:tr w:rsidR="004C32B5" w:rsidRPr="00E751C4" w:rsidTr="00422CE1">
        <w:tc>
          <w:tcPr>
            <w:tcW w:w="562" w:type="dxa"/>
          </w:tcPr>
          <w:p w:rsidR="004C32B5" w:rsidRDefault="004C32B5" w:rsidP="002E48B9">
            <w:pPr>
              <w:jc w:val="both"/>
              <w:rPr>
                <w:rFonts w:ascii="Times New Roman" w:hAnsi="Times New Roman" w:cs="Times New Roman"/>
                <w:sz w:val="18"/>
                <w:szCs w:val="18"/>
              </w:rPr>
            </w:pPr>
            <w:r>
              <w:rPr>
                <w:rFonts w:ascii="Times New Roman" w:hAnsi="Times New Roman" w:cs="Times New Roman"/>
                <w:sz w:val="18"/>
                <w:szCs w:val="18"/>
              </w:rPr>
              <w:t>16.</w:t>
            </w:r>
          </w:p>
        </w:tc>
        <w:tc>
          <w:tcPr>
            <w:tcW w:w="4536" w:type="dxa"/>
          </w:tcPr>
          <w:p w:rsidR="004C32B5" w:rsidRPr="004F2212" w:rsidRDefault="004C32B5" w:rsidP="002E48B9">
            <w:pPr>
              <w:jc w:val="both"/>
              <w:rPr>
                <w:rFonts w:ascii="Times New Roman" w:hAnsi="Times New Roman" w:cs="Times New Roman"/>
                <w:b/>
                <w:sz w:val="18"/>
                <w:szCs w:val="18"/>
              </w:rPr>
            </w:pPr>
            <w:r w:rsidRPr="004F2212">
              <w:rPr>
                <w:rFonts w:ascii="Times New Roman" w:hAnsi="Times New Roman" w:cs="Times New Roman"/>
                <w:b/>
                <w:sz w:val="18"/>
                <w:szCs w:val="18"/>
              </w:rPr>
              <w:t>Faktoringo sandoris</w:t>
            </w:r>
          </w:p>
          <w:p w:rsidR="004C32B5" w:rsidRDefault="004C32B5" w:rsidP="002E48B9">
            <w:pPr>
              <w:jc w:val="both"/>
              <w:rPr>
                <w:rFonts w:ascii="Arial" w:hAnsi="Arial" w:cs="Arial"/>
                <w:color w:val="000000"/>
                <w:sz w:val="20"/>
                <w:szCs w:val="20"/>
              </w:rPr>
            </w:pPr>
            <w:r w:rsidRPr="004F2212">
              <w:rPr>
                <w:rFonts w:ascii="Times New Roman" w:hAnsi="Times New Roman" w:cs="Times New Roman"/>
                <w:sz w:val="18"/>
                <w:szCs w:val="18"/>
              </w:rPr>
              <w:t>Faktoringo sutartis, pagal kurią teikiamas trumpalaikis finansavimas, kai MVĮ perleidžia ar įsipareigoja perleisti PGF2 priemonės valdytojui piniginius reikalavimus pagal savo sąskaitas faktūras už pirkėjams parduotas prekes ar suteiktas paslaugas, o PGF2 priemonės valdytojas, įsigydamas MVĮ priklausančius piniginius reikalavimus pirkėjams, išmoka arba įsipareigoja išmokėti MVĮ Faktoringo avansą pagal pateiktas sąskaitas faktūras</w:t>
            </w:r>
          </w:p>
        </w:tc>
        <w:tc>
          <w:tcPr>
            <w:tcW w:w="4819" w:type="dxa"/>
          </w:tcPr>
          <w:p w:rsidR="004C32B5" w:rsidRPr="00E24173" w:rsidRDefault="004C32B5" w:rsidP="002E48B9">
            <w:pPr>
              <w:jc w:val="both"/>
              <w:rPr>
                <w:rFonts w:ascii="Times New Roman" w:hAnsi="Times New Roman" w:cs="Times New Roman"/>
                <w:sz w:val="18"/>
                <w:szCs w:val="18"/>
              </w:rPr>
            </w:pPr>
            <w:r w:rsidRPr="002E48B9">
              <w:rPr>
                <w:rFonts w:ascii="Times New Roman" w:hAnsi="Times New Roman" w:cs="Times New Roman"/>
                <w:sz w:val="18"/>
                <w:szCs w:val="18"/>
              </w:rPr>
              <w:t>Į Portfelį norime galėti įtraukti ir slapto faktoringo sandorius (kai debitorius neinformuojamas apie faktoringą);</w:t>
            </w:r>
          </w:p>
        </w:tc>
        <w:tc>
          <w:tcPr>
            <w:tcW w:w="4820" w:type="dxa"/>
          </w:tcPr>
          <w:p w:rsidR="004C32B5" w:rsidRDefault="004C32B5" w:rsidP="00575D8E">
            <w:pPr>
              <w:jc w:val="both"/>
              <w:rPr>
                <w:rFonts w:ascii="Times New Roman" w:hAnsi="Times New Roman" w:cs="Times New Roman"/>
                <w:sz w:val="18"/>
                <w:szCs w:val="18"/>
              </w:rPr>
            </w:pPr>
            <w:r>
              <w:rPr>
                <w:rFonts w:ascii="Times New Roman" w:hAnsi="Times New Roman" w:cs="Times New Roman"/>
                <w:sz w:val="18"/>
                <w:szCs w:val="18"/>
              </w:rPr>
              <w:t>Neatsižvelgta</w:t>
            </w:r>
          </w:p>
          <w:p w:rsidR="004C32B5" w:rsidRDefault="004C32B5" w:rsidP="00CE209D">
            <w:pPr>
              <w:jc w:val="both"/>
              <w:rPr>
                <w:rFonts w:ascii="Times New Roman" w:hAnsi="Times New Roman" w:cs="Times New Roman"/>
                <w:sz w:val="18"/>
                <w:szCs w:val="18"/>
              </w:rPr>
            </w:pPr>
          </w:p>
          <w:p w:rsidR="004C32B5" w:rsidRDefault="004C32B5" w:rsidP="00AB1850">
            <w:pPr>
              <w:jc w:val="both"/>
              <w:rPr>
                <w:rFonts w:ascii="Times New Roman" w:hAnsi="Times New Roman" w:cs="Times New Roman"/>
                <w:sz w:val="18"/>
                <w:szCs w:val="18"/>
              </w:rPr>
            </w:pPr>
            <w:r>
              <w:rPr>
                <w:rFonts w:ascii="Times New Roman" w:hAnsi="Times New Roman" w:cs="Times New Roman"/>
                <w:sz w:val="18"/>
                <w:szCs w:val="18"/>
              </w:rPr>
              <w:t xml:space="preserve">Pagal PGF2 priemonės sąlygas faktoringo gavėjo pirkėjas turi atsiskaityti pervesdamas lėšas (apmokėdamas sąskaitą) PGF2 priemonės valdytojui.  Faktoringo bendrovė, leisdama pirkėjui atlikti sąskaitos apmokėjimą į faktoringo gavėjo sąskaitą, prisiimtų per didelę riziką. </w:t>
            </w:r>
          </w:p>
        </w:tc>
      </w:tr>
      <w:tr w:rsidR="004C32B5" w:rsidRPr="00E751C4" w:rsidTr="00422CE1">
        <w:tc>
          <w:tcPr>
            <w:tcW w:w="562" w:type="dxa"/>
          </w:tcPr>
          <w:p w:rsidR="004C32B5" w:rsidRDefault="004C32B5" w:rsidP="002E48B9">
            <w:pPr>
              <w:jc w:val="both"/>
              <w:rPr>
                <w:rFonts w:ascii="Times New Roman" w:hAnsi="Times New Roman" w:cs="Times New Roman"/>
                <w:sz w:val="18"/>
                <w:szCs w:val="18"/>
              </w:rPr>
            </w:pPr>
            <w:r>
              <w:rPr>
                <w:rFonts w:ascii="Times New Roman" w:hAnsi="Times New Roman" w:cs="Times New Roman"/>
                <w:sz w:val="18"/>
                <w:szCs w:val="18"/>
              </w:rPr>
              <w:t>17.</w:t>
            </w:r>
          </w:p>
        </w:tc>
        <w:tc>
          <w:tcPr>
            <w:tcW w:w="4536" w:type="dxa"/>
          </w:tcPr>
          <w:p w:rsidR="004C32B5" w:rsidRPr="002E48B9" w:rsidRDefault="004C32B5" w:rsidP="002E48B9">
            <w:pPr>
              <w:jc w:val="both"/>
              <w:rPr>
                <w:rFonts w:ascii="Arial" w:hAnsi="Arial" w:cs="Arial"/>
                <w:color w:val="000000"/>
                <w:sz w:val="20"/>
                <w:szCs w:val="20"/>
              </w:rPr>
            </w:pPr>
          </w:p>
        </w:tc>
        <w:tc>
          <w:tcPr>
            <w:tcW w:w="4819" w:type="dxa"/>
          </w:tcPr>
          <w:p w:rsidR="004C32B5" w:rsidRPr="002E48B9" w:rsidRDefault="004C32B5" w:rsidP="002E48B9">
            <w:pPr>
              <w:jc w:val="both"/>
              <w:rPr>
                <w:rFonts w:ascii="Times New Roman" w:hAnsi="Times New Roman" w:cs="Times New Roman"/>
                <w:sz w:val="18"/>
                <w:szCs w:val="18"/>
              </w:rPr>
            </w:pPr>
            <w:r w:rsidRPr="002E48B9">
              <w:rPr>
                <w:rFonts w:ascii="Times New Roman" w:hAnsi="Times New Roman" w:cs="Times New Roman"/>
                <w:sz w:val="18"/>
                <w:szCs w:val="18"/>
              </w:rPr>
              <w:t>Į Portfelį norime galėti įtraukti ir atvirkštinio faktoringo sandorius (kai taikomas 30 d. atidėjimas);</w:t>
            </w:r>
          </w:p>
          <w:p w:rsidR="004C32B5" w:rsidRPr="00E24173" w:rsidRDefault="004C32B5" w:rsidP="002E48B9">
            <w:pPr>
              <w:jc w:val="both"/>
              <w:rPr>
                <w:rFonts w:ascii="Times New Roman" w:hAnsi="Times New Roman" w:cs="Times New Roman"/>
                <w:sz w:val="18"/>
                <w:szCs w:val="18"/>
              </w:rPr>
            </w:pPr>
          </w:p>
        </w:tc>
        <w:tc>
          <w:tcPr>
            <w:tcW w:w="4820" w:type="dxa"/>
          </w:tcPr>
          <w:p w:rsidR="004C32B5" w:rsidRDefault="004C32B5" w:rsidP="00575D8E">
            <w:pPr>
              <w:jc w:val="both"/>
              <w:rPr>
                <w:rFonts w:ascii="Times New Roman" w:hAnsi="Times New Roman" w:cs="Times New Roman"/>
                <w:sz w:val="18"/>
                <w:szCs w:val="18"/>
              </w:rPr>
            </w:pPr>
            <w:r>
              <w:rPr>
                <w:rFonts w:ascii="Times New Roman" w:hAnsi="Times New Roman" w:cs="Times New Roman"/>
                <w:sz w:val="18"/>
                <w:szCs w:val="18"/>
              </w:rPr>
              <w:t>Neatsižvelgta</w:t>
            </w:r>
          </w:p>
          <w:p w:rsidR="004C32B5" w:rsidRDefault="004C32B5" w:rsidP="00AB1850">
            <w:pPr>
              <w:jc w:val="both"/>
              <w:rPr>
                <w:rFonts w:ascii="Times New Roman" w:hAnsi="Times New Roman" w:cs="Times New Roman"/>
                <w:sz w:val="18"/>
                <w:szCs w:val="18"/>
              </w:rPr>
            </w:pPr>
          </w:p>
          <w:p w:rsidR="004C32B5" w:rsidRDefault="004C32B5" w:rsidP="00AB1850">
            <w:pPr>
              <w:jc w:val="both"/>
              <w:rPr>
                <w:rFonts w:ascii="Times New Roman" w:hAnsi="Times New Roman" w:cs="Times New Roman"/>
                <w:sz w:val="18"/>
                <w:szCs w:val="18"/>
              </w:rPr>
            </w:pPr>
            <w:r>
              <w:rPr>
                <w:rFonts w:ascii="Times New Roman" w:hAnsi="Times New Roman" w:cs="Times New Roman"/>
                <w:sz w:val="18"/>
                <w:szCs w:val="18"/>
              </w:rPr>
              <w:t>Atvirkštinio faktoringo atveju finansuojamas pirkėjas, kad galėtų atsiskaityti už gautas prekes pagal jam išrašytą sąskaitą (dažniausiai be atidėjimo). Šiuo atveju, skirtingai nei įprasto faktoringo atveju, neperimamas joks įsipareigojimas ir finansavimas nėra užtikrintas visiškai. Faktiškai tai yra apyvartinė paskola pirkėjui. Siūlytume šiuo atveju naudoti kitus „</w:t>
            </w:r>
            <w:proofErr w:type="spellStart"/>
            <w:r>
              <w:rPr>
                <w:rFonts w:ascii="Times New Roman" w:hAnsi="Times New Roman" w:cs="Times New Roman"/>
                <w:sz w:val="18"/>
                <w:szCs w:val="18"/>
              </w:rPr>
              <w:t>Invegos</w:t>
            </w:r>
            <w:proofErr w:type="spellEnd"/>
            <w:r>
              <w:rPr>
                <w:rFonts w:ascii="Times New Roman" w:hAnsi="Times New Roman" w:cs="Times New Roman"/>
                <w:sz w:val="18"/>
                <w:szCs w:val="18"/>
              </w:rPr>
              <w:t xml:space="preserve">“ finansinius instrumentus (planuojamą „Portfelinės garantijos paskoloms </w:t>
            </w:r>
            <w:r w:rsidRPr="00B10C87">
              <w:rPr>
                <w:rFonts w:ascii="Times New Roman" w:hAnsi="Times New Roman" w:cs="Times New Roman"/>
                <w:sz w:val="18"/>
                <w:szCs w:val="18"/>
              </w:rPr>
              <w:t>2”</w:t>
            </w:r>
            <w:r>
              <w:rPr>
                <w:rFonts w:ascii="Times New Roman" w:hAnsi="Times New Roman" w:cs="Times New Roman"/>
                <w:sz w:val="18"/>
                <w:szCs w:val="18"/>
              </w:rPr>
              <w:t>)</w:t>
            </w:r>
          </w:p>
        </w:tc>
      </w:tr>
      <w:tr w:rsidR="004C32B5" w:rsidRPr="00E751C4" w:rsidTr="00422CE1">
        <w:tc>
          <w:tcPr>
            <w:tcW w:w="562" w:type="dxa"/>
          </w:tcPr>
          <w:p w:rsidR="004C32B5" w:rsidRDefault="004C32B5" w:rsidP="002E48B9">
            <w:pPr>
              <w:jc w:val="both"/>
              <w:rPr>
                <w:rFonts w:ascii="Times New Roman" w:hAnsi="Times New Roman" w:cs="Times New Roman"/>
                <w:sz w:val="18"/>
                <w:szCs w:val="18"/>
              </w:rPr>
            </w:pPr>
            <w:r>
              <w:rPr>
                <w:rFonts w:ascii="Times New Roman" w:hAnsi="Times New Roman" w:cs="Times New Roman"/>
                <w:sz w:val="18"/>
                <w:szCs w:val="18"/>
              </w:rPr>
              <w:t>18.</w:t>
            </w:r>
          </w:p>
        </w:tc>
        <w:tc>
          <w:tcPr>
            <w:tcW w:w="4536" w:type="dxa"/>
          </w:tcPr>
          <w:p w:rsidR="004C32B5" w:rsidRPr="002E48B9" w:rsidRDefault="004C32B5" w:rsidP="002E48B9">
            <w:pPr>
              <w:jc w:val="both"/>
              <w:rPr>
                <w:rFonts w:ascii="Arial" w:hAnsi="Arial" w:cs="Arial"/>
                <w:color w:val="000000"/>
                <w:sz w:val="20"/>
                <w:szCs w:val="20"/>
              </w:rPr>
            </w:pPr>
          </w:p>
        </w:tc>
        <w:tc>
          <w:tcPr>
            <w:tcW w:w="4819" w:type="dxa"/>
          </w:tcPr>
          <w:p w:rsidR="004C32B5" w:rsidRPr="002E48B9" w:rsidRDefault="004C32B5" w:rsidP="002E48B9">
            <w:pPr>
              <w:jc w:val="both"/>
              <w:rPr>
                <w:rFonts w:ascii="Times New Roman" w:hAnsi="Times New Roman" w:cs="Times New Roman"/>
                <w:sz w:val="18"/>
                <w:szCs w:val="18"/>
              </w:rPr>
            </w:pPr>
            <w:r w:rsidRPr="002E48B9">
              <w:rPr>
                <w:rFonts w:ascii="Times New Roman" w:hAnsi="Times New Roman" w:cs="Times New Roman"/>
                <w:sz w:val="18"/>
                <w:szCs w:val="18"/>
              </w:rPr>
              <w:t>Šiomis aplinkybėmis finansavimą taip pat palengvintų ir išmokų pagal garantiją sumos didinimas iki 90% finansuotos sumos.</w:t>
            </w:r>
          </w:p>
        </w:tc>
        <w:tc>
          <w:tcPr>
            <w:tcW w:w="4820" w:type="dxa"/>
          </w:tcPr>
          <w:p w:rsidR="004C32B5" w:rsidRDefault="004C32B5" w:rsidP="00575D8E">
            <w:pPr>
              <w:jc w:val="both"/>
              <w:rPr>
                <w:rFonts w:ascii="Times New Roman" w:hAnsi="Times New Roman" w:cs="Times New Roman"/>
                <w:sz w:val="18"/>
                <w:szCs w:val="18"/>
              </w:rPr>
            </w:pPr>
            <w:r>
              <w:rPr>
                <w:rFonts w:ascii="Times New Roman" w:hAnsi="Times New Roman" w:cs="Times New Roman"/>
                <w:sz w:val="18"/>
                <w:szCs w:val="18"/>
              </w:rPr>
              <w:t>Neatsižvelgta</w:t>
            </w:r>
          </w:p>
          <w:p w:rsidR="004C32B5" w:rsidRDefault="004C32B5" w:rsidP="00EF04D9">
            <w:pPr>
              <w:jc w:val="both"/>
              <w:rPr>
                <w:rFonts w:ascii="Times New Roman" w:hAnsi="Times New Roman" w:cs="Times New Roman"/>
                <w:sz w:val="18"/>
                <w:szCs w:val="18"/>
              </w:rPr>
            </w:pPr>
          </w:p>
          <w:p w:rsidR="004C32B5" w:rsidRDefault="004C32B5" w:rsidP="00EF04D9">
            <w:pPr>
              <w:jc w:val="both"/>
              <w:rPr>
                <w:rFonts w:ascii="Times New Roman" w:hAnsi="Times New Roman" w:cs="Times New Roman"/>
                <w:sz w:val="18"/>
                <w:szCs w:val="18"/>
              </w:rPr>
            </w:pPr>
            <w:r>
              <w:rPr>
                <w:rFonts w:ascii="Times New Roman" w:hAnsi="Times New Roman" w:cs="Times New Roman"/>
                <w:sz w:val="18"/>
                <w:szCs w:val="18"/>
              </w:rPr>
              <w:t xml:space="preserve">PGF2 priemonė bus įgyvendinama pagal </w:t>
            </w:r>
            <w:r w:rsidRPr="0043272B">
              <w:rPr>
                <w:rFonts w:ascii="Times New Roman" w:hAnsi="Times New Roman" w:cs="Times New Roman"/>
                <w:i/>
                <w:sz w:val="18"/>
                <w:szCs w:val="18"/>
              </w:rPr>
              <w:t xml:space="preserve">De </w:t>
            </w:r>
            <w:proofErr w:type="spellStart"/>
            <w:r w:rsidRPr="0043272B">
              <w:rPr>
                <w:rFonts w:ascii="Times New Roman" w:hAnsi="Times New Roman" w:cs="Times New Roman"/>
                <w:i/>
                <w:sz w:val="18"/>
                <w:szCs w:val="18"/>
              </w:rPr>
              <w:t>minimis</w:t>
            </w:r>
            <w:proofErr w:type="spellEnd"/>
            <w:r>
              <w:rPr>
                <w:rFonts w:ascii="Times New Roman" w:hAnsi="Times New Roman" w:cs="Times New Roman"/>
                <w:sz w:val="18"/>
                <w:szCs w:val="18"/>
              </w:rPr>
              <w:t xml:space="preserve"> </w:t>
            </w:r>
            <w:r w:rsidRPr="0043272B">
              <w:rPr>
                <w:rFonts w:ascii="Times New Roman" w:hAnsi="Times New Roman" w:cs="Times New Roman"/>
                <w:sz w:val="18"/>
                <w:szCs w:val="18"/>
              </w:rPr>
              <w:t>Reglament</w:t>
            </w:r>
            <w:r>
              <w:rPr>
                <w:rFonts w:ascii="Times New Roman" w:hAnsi="Times New Roman" w:cs="Times New Roman"/>
                <w:sz w:val="18"/>
                <w:szCs w:val="18"/>
              </w:rPr>
              <w:t>o</w:t>
            </w:r>
            <w:r w:rsidRPr="0043272B">
              <w:rPr>
                <w:rFonts w:ascii="Times New Roman" w:hAnsi="Times New Roman" w:cs="Times New Roman"/>
                <w:sz w:val="18"/>
                <w:szCs w:val="18"/>
              </w:rPr>
              <w:t xml:space="preserve"> (ES) Nr. 1407/2013 nuostatas</w:t>
            </w:r>
            <w:r>
              <w:rPr>
                <w:rFonts w:ascii="Times New Roman" w:hAnsi="Times New Roman" w:cs="Times New Roman"/>
                <w:sz w:val="18"/>
                <w:szCs w:val="18"/>
              </w:rPr>
              <w:t>, kuriose numatyta maksimali garantija yra 80 proc.</w:t>
            </w:r>
          </w:p>
          <w:p w:rsidR="004C32B5" w:rsidRDefault="004C32B5" w:rsidP="00EF04D9">
            <w:pPr>
              <w:jc w:val="both"/>
              <w:rPr>
                <w:rFonts w:ascii="Times New Roman" w:hAnsi="Times New Roman" w:cs="Times New Roman"/>
                <w:sz w:val="18"/>
                <w:szCs w:val="18"/>
              </w:rPr>
            </w:pPr>
            <w:r>
              <w:rPr>
                <w:rFonts w:ascii="Times New Roman" w:hAnsi="Times New Roman" w:cs="Times New Roman"/>
                <w:sz w:val="18"/>
                <w:szCs w:val="18"/>
              </w:rPr>
              <w:t xml:space="preserve">Deja </w:t>
            </w:r>
            <w:r w:rsidRPr="0043272B">
              <w:rPr>
                <w:rFonts w:ascii="Times New Roman" w:hAnsi="Times New Roman" w:cs="Times New Roman"/>
                <w:sz w:val="18"/>
                <w:szCs w:val="18"/>
              </w:rPr>
              <w:t>2020 m. kovo 19</w:t>
            </w:r>
            <w:r>
              <w:rPr>
                <w:rFonts w:ascii="Times New Roman" w:hAnsi="Times New Roman" w:cs="Times New Roman"/>
                <w:sz w:val="18"/>
                <w:szCs w:val="18"/>
              </w:rPr>
              <w:t xml:space="preserve"> d. Europos Komisijos komunikatas</w:t>
            </w:r>
            <w:r w:rsidRPr="0043272B">
              <w:rPr>
                <w:rFonts w:ascii="Times New Roman" w:hAnsi="Times New Roman" w:cs="Times New Roman"/>
                <w:sz w:val="18"/>
                <w:szCs w:val="18"/>
              </w:rPr>
              <w:t xml:space="preserve"> dėl Laikinosios valstybės pagalbos priemonių, skirtų ekonomikai remti reaguojant į dabartinį COVID-19 protrūkį, </w:t>
            </w:r>
            <w:r>
              <w:rPr>
                <w:rFonts w:ascii="Times New Roman" w:hAnsi="Times New Roman" w:cs="Times New Roman"/>
                <w:sz w:val="18"/>
                <w:szCs w:val="18"/>
              </w:rPr>
              <w:t>kuris numato didesnį galimą garantijos intensyvumą, negali būti naudojamas faktoringo sandoriams</w:t>
            </w:r>
          </w:p>
        </w:tc>
      </w:tr>
      <w:tr w:rsidR="004C32B5" w:rsidRPr="00E751C4" w:rsidTr="00422CE1">
        <w:tc>
          <w:tcPr>
            <w:tcW w:w="562" w:type="dxa"/>
          </w:tcPr>
          <w:p w:rsidR="004C32B5" w:rsidRDefault="004C32B5" w:rsidP="002E48B9">
            <w:pPr>
              <w:jc w:val="both"/>
              <w:rPr>
                <w:rFonts w:ascii="Times New Roman" w:hAnsi="Times New Roman" w:cs="Times New Roman"/>
                <w:sz w:val="18"/>
                <w:szCs w:val="18"/>
              </w:rPr>
            </w:pPr>
            <w:r>
              <w:rPr>
                <w:rFonts w:ascii="Times New Roman" w:hAnsi="Times New Roman" w:cs="Times New Roman"/>
                <w:sz w:val="18"/>
                <w:szCs w:val="18"/>
              </w:rPr>
              <w:t>19.</w:t>
            </w:r>
          </w:p>
        </w:tc>
        <w:tc>
          <w:tcPr>
            <w:tcW w:w="4536" w:type="dxa"/>
          </w:tcPr>
          <w:p w:rsidR="004C32B5" w:rsidRPr="002E48B9" w:rsidRDefault="004C32B5" w:rsidP="002E48B9">
            <w:pPr>
              <w:jc w:val="both"/>
              <w:rPr>
                <w:rFonts w:ascii="Arial" w:hAnsi="Arial" w:cs="Arial"/>
                <w:color w:val="000000"/>
                <w:sz w:val="20"/>
                <w:szCs w:val="20"/>
              </w:rPr>
            </w:pPr>
          </w:p>
        </w:tc>
        <w:tc>
          <w:tcPr>
            <w:tcW w:w="4819" w:type="dxa"/>
          </w:tcPr>
          <w:p w:rsidR="004C32B5" w:rsidRPr="002E48B9" w:rsidRDefault="004C32B5" w:rsidP="002E48B9">
            <w:pPr>
              <w:jc w:val="both"/>
              <w:rPr>
                <w:rFonts w:ascii="Times New Roman" w:hAnsi="Times New Roman" w:cs="Times New Roman"/>
                <w:sz w:val="18"/>
                <w:szCs w:val="18"/>
              </w:rPr>
            </w:pPr>
            <w:r w:rsidRPr="002E48B9">
              <w:rPr>
                <w:rFonts w:ascii="Times New Roman" w:hAnsi="Times New Roman" w:cs="Times New Roman"/>
                <w:sz w:val="18"/>
                <w:szCs w:val="18"/>
              </w:rPr>
              <w:t xml:space="preserve">Siekiant taupyti finansuotojo resursus ir laiką didžiulis palengvinimas būtų supaprastintas ketvirtinių ataskaitų pateikimas, atsisakant 10 </w:t>
            </w:r>
            <w:proofErr w:type="spellStart"/>
            <w:r w:rsidRPr="002E48B9">
              <w:rPr>
                <w:rFonts w:ascii="Times New Roman" w:hAnsi="Times New Roman" w:cs="Times New Roman"/>
                <w:sz w:val="18"/>
                <w:szCs w:val="18"/>
              </w:rPr>
              <w:t>excel</w:t>
            </w:r>
            <w:proofErr w:type="spellEnd"/>
            <w:r w:rsidRPr="002E48B9">
              <w:rPr>
                <w:rFonts w:ascii="Times New Roman" w:hAnsi="Times New Roman" w:cs="Times New Roman"/>
                <w:sz w:val="18"/>
                <w:szCs w:val="18"/>
              </w:rPr>
              <w:t xml:space="preserve"> </w:t>
            </w:r>
            <w:proofErr w:type="spellStart"/>
            <w:r w:rsidRPr="002E48B9">
              <w:rPr>
                <w:rFonts w:ascii="Times New Roman" w:hAnsi="Times New Roman" w:cs="Times New Roman"/>
                <w:sz w:val="18"/>
                <w:szCs w:val="18"/>
              </w:rPr>
              <w:t>sheet‘ų</w:t>
            </w:r>
            <w:proofErr w:type="spellEnd"/>
            <w:r w:rsidRPr="002E48B9">
              <w:rPr>
                <w:rFonts w:ascii="Times New Roman" w:hAnsi="Times New Roman" w:cs="Times New Roman"/>
                <w:sz w:val="18"/>
                <w:szCs w:val="18"/>
              </w:rPr>
              <w:t>, o taip pat – komentarai būtų teikiami tik dėl esminių ir tikrai situaciją keičiančių klaidų (ne formatavimo ar teksto klaidų).</w:t>
            </w:r>
          </w:p>
          <w:p w:rsidR="004C32B5" w:rsidRPr="002E48B9" w:rsidRDefault="004C32B5" w:rsidP="002E48B9">
            <w:pPr>
              <w:jc w:val="both"/>
              <w:rPr>
                <w:rFonts w:ascii="Times New Roman" w:hAnsi="Times New Roman" w:cs="Times New Roman"/>
                <w:sz w:val="18"/>
                <w:szCs w:val="18"/>
              </w:rPr>
            </w:pPr>
          </w:p>
        </w:tc>
        <w:tc>
          <w:tcPr>
            <w:tcW w:w="4820" w:type="dxa"/>
          </w:tcPr>
          <w:p w:rsidR="004C32B5" w:rsidRDefault="004C32B5" w:rsidP="002E48B9">
            <w:pPr>
              <w:jc w:val="both"/>
              <w:rPr>
                <w:rFonts w:ascii="Times New Roman" w:hAnsi="Times New Roman" w:cs="Times New Roman"/>
                <w:sz w:val="18"/>
                <w:szCs w:val="18"/>
              </w:rPr>
            </w:pPr>
            <w:r>
              <w:rPr>
                <w:rFonts w:ascii="Times New Roman" w:hAnsi="Times New Roman" w:cs="Times New Roman"/>
                <w:sz w:val="18"/>
                <w:szCs w:val="18"/>
              </w:rPr>
              <w:t>Ataskaitų teikimo sąlygos ir forma nėra PGF2 priemonės sąlygų dalis. Pasirašant PGF2 priemonės įgyvendinimo sutartį gali būti tariamasi dėl ataskaitų formato</w:t>
            </w:r>
          </w:p>
        </w:tc>
      </w:tr>
      <w:tr w:rsidR="004C32B5" w:rsidRPr="00E751C4" w:rsidTr="00422CE1">
        <w:tc>
          <w:tcPr>
            <w:tcW w:w="562" w:type="dxa"/>
          </w:tcPr>
          <w:p w:rsidR="004C32B5" w:rsidRDefault="004C32B5" w:rsidP="002E48B9">
            <w:pPr>
              <w:jc w:val="both"/>
              <w:rPr>
                <w:rFonts w:ascii="Times New Roman" w:hAnsi="Times New Roman" w:cs="Times New Roman"/>
                <w:sz w:val="18"/>
                <w:szCs w:val="18"/>
              </w:rPr>
            </w:pPr>
            <w:r>
              <w:rPr>
                <w:rFonts w:ascii="Times New Roman" w:hAnsi="Times New Roman" w:cs="Times New Roman"/>
                <w:sz w:val="18"/>
                <w:szCs w:val="18"/>
              </w:rPr>
              <w:t>20.</w:t>
            </w:r>
          </w:p>
        </w:tc>
        <w:tc>
          <w:tcPr>
            <w:tcW w:w="4536" w:type="dxa"/>
          </w:tcPr>
          <w:p w:rsidR="004C32B5" w:rsidRPr="002E48B9" w:rsidRDefault="004C32B5" w:rsidP="002E48B9">
            <w:pPr>
              <w:jc w:val="both"/>
              <w:rPr>
                <w:rFonts w:ascii="Arial" w:hAnsi="Arial" w:cs="Arial"/>
                <w:color w:val="000000"/>
                <w:sz w:val="20"/>
                <w:szCs w:val="20"/>
              </w:rPr>
            </w:pPr>
          </w:p>
        </w:tc>
        <w:tc>
          <w:tcPr>
            <w:tcW w:w="4819" w:type="dxa"/>
          </w:tcPr>
          <w:p w:rsidR="004C32B5" w:rsidRPr="002E48B9" w:rsidRDefault="004C32B5" w:rsidP="002E48B9">
            <w:pPr>
              <w:jc w:val="both"/>
              <w:rPr>
                <w:rFonts w:ascii="Times New Roman" w:hAnsi="Times New Roman" w:cs="Times New Roman"/>
                <w:sz w:val="18"/>
                <w:szCs w:val="18"/>
              </w:rPr>
            </w:pPr>
            <w:r w:rsidRPr="002E48B9">
              <w:rPr>
                <w:rFonts w:ascii="Times New Roman" w:hAnsi="Times New Roman" w:cs="Times New Roman"/>
                <w:sz w:val="18"/>
                <w:szCs w:val="18"/>
              </w:rPr>
              <w:t>Svarstytina, jog iš finansuotojo pusės pakaktų tik mėnesinės ataskaitos.</w:t>
            </w:r>
          </w:p>
          <w:p w:rsidR="004C32B5" w:rsidRPr="002E48B9" w:rsidRDefault="004C32B5" w:rsidP="002E48B9">
            <w:pPr>
              <w:jc w:val="both"/>
              <w:rPr>
                <w:rFonts w:ascii="Times New Roman" w:hAnsi="Times New Roman" w:cs="Times New Roman"/>
                <w:sz w:val="18"/>
                <w:szCs w:val="18"/>
              </w:rPr>
            </w:pPr>
          </w:p>
        </w:tc>
        <w:tc>
          <w:tcPr>
            <w:tcW w:w="4820" w:type="dxa"/>
          </w:tcPr>
          <w:p w:rsidR="004C32B5" w:rsidRDefault="004C32B5" w:rsidP="002E48B9">
            <w:pPr>
              <w:jc w:val="both"/>
              <w:rPr>
                <w:rFonts w:ascii="Times New Roman" w:hAnsi="Times New Roman" w:cs="Times New Roman"/>
                <w:sz w:val="18"/>
                <w:szCs w:val="18"/>
              </w:rPr>
            </w:pPr>
            <w:r>
              <w:rPr>
                <w:rFonts w:ascii="Times New Roman" w:hAnsi="Times New Roman" w:cs="Times New Roman"/>
                <w:sz w:val="18"/>
                <w:szCs w:val="18"/>
              </w:rPr>
              <w:t>Ataskaitų teikimo sąlygos ir forma nėra PGF2 priemonės sąlygų dalis. Pasirašant PGF2 priemonės įgyvendinimo sutartį gali būti tariamasi dėl ataskaitų formato</w:t>
            </w:r>
          </w:p>
        </w:tc>
      </w:tr>
      <w:tr w:rsidR="00422CE1" w:rsidRPr="00E751C4" w:rsidTr="00422CE1">
        <w:tc>
          <w:tcPr>
            <w:tcW w:w="562" w:type="dxa"/>
          </w:tcPr>
          <w:p w:rsidR="00422CE1" w:rsidRDefault="00422CE1" w:rsidP="002E48B9">
            <w:pPr>
              <w:jc w:val="both"/>
              <w:rPr>
                <w:rFonts w:ascii="Times New Roman" w:hAnsi="Times New Roman" w:cs="Times New Roman"/>
                <w:sz w:val="18"/>
                <w:szCs w:val="18"/>
              </w:rPr>
            </w:pPr>
            <w:r>
              <w:rPr>
                <w:rFonts w:ascii="Times New Roman" w:hAnsi="Times New Roman" w:cs="Times New Roman"/>
                <w:sz w:val="18"/>
                <w:szCs w:val="18"/>
              </w:rPr>
              <w:t>21.</w:t>
            </w:r>
          </w:p>
        </w:tc>
        <w:tc>
          <w:tcPr>
            <w:tcW w:w="4536" w:type="dxa"/>
          </w:tcPr>
          <w:p w:rsidR="00422CE1" w:rsidRDefault="00422CE1" w:rsidP="002E48B9">
            <w:pPr>
              <w:jc w:val="both"/>
              <w:rPr>
                <w:rFonts w:ascii="Times New Roman" w:hAnsi="Times New Roman" w:cs="Times New Roman"/>
                <w:sz w:val="18"/>
                <w:szCs w:val="18"/>
              </w:rPr>
            </w:pPr>
            <w:r w:rsidRPr="00575D8E">
              <w:rPr>
                <w:rFonts w:ascii="Times New Roman" w:hAnsi="Times New Roman" w:cs="Times New Roman"/>
                <w:b/>
                <w:sz w:val="18"/>
                <w:szCs w:val="18"/>
              </w:rPr>
              <w:t>Viršutinės ribos norma (angl. „Cap rate“)</w:t>
            </w:r>
          </w:p>
          <w:p w:rsidR="00422CE1" w:rsidRPr="00416E9D" w:rsidRDefault="00422CE1" w:rsidP="002E48B9">
            <w:pPr>
              <w:jc w:val="both"/>
              <w:rPr>
                <w:rFonts w:ascii="Times New Roman" w:hAnsi="Times New Roman" w:cs="Times New Roman"/>
                <w:sz w:val="18"/>
                <w:szCs w:val="18"/>
              </w:rPr>
            </w:pPr>
            <w:r w:rsidRPr="00416E9D">
              <w:rPr>
                <w:rFonts w:ascii="Times New Roman" w:hAnsi="Times New Roman" w:cs="Times New Roman"/>
                <w:sz w:val="18"/>
                <w:szCs w:val="18"/>
              </w:rPr>
              <w:t>Didžiausias Išmokų, kurias „Invega“ kaip INVEGOS fondo valdytoja gali išmokėti PGF2 priemonės valdytojui, dydis, t. y. 20 (dvidešimt) proc. nuo garantuotos Portfelio sumos</w:t>
            </w:r>
          </w:p>
        </w:tc>
        <w:tc>
          <w:tcPr>
            <w:tcW w:w="4819" w:type="dxa"/>
          </w:tcPr>
          <w:p w:rsidR="00422CE1" w:rsidRPr="002E48B9" w:rsidRDefault="00422CE1" w:rsidP="002E48B9">
            <w:pPr>
              <w:jc w:val="both"/>
              <w:rPr>
                <w:rFonts w:ascii="Times New Roman" w:hAnsi="Times New Roman" w:cs="Times New Roman"/>
                <w:sz w:val="18"/>
                <w:szCs w:val="18"/>
              </w:rPr>
            </w:pPr>
            <w:r w:rsidRPr="002E48B9">
              <w:rPr>
                <w:rFonts w:ascii="Times New Roman" w:hAnsi="Times New Roman" w:cs="Times New Roman"/>
                <w:sz w:val="18"/>
                <w:szCs w:val="18"/>
              </w:rPr>
              <w:t xml:space="preserve">Viršutinės ribos norma (angl. „Cap rate“): atsižvelgiant į dabartinę rinkos situaciją ir verslui reikalingas teikti skatinimo priemones, siūlytume didinti didžiausią išmokos, kurią “Invega” galės išmokėti PGF2 priemonės valdytojui dydį, </w:t>
            </w:r>
            <w:proofErr w:type="spellStart"/>
            <w:r w:rsidRPr="002E48B9">
              <w:rPr>
                <w:rFonts w:ascii="Times New Roman" w:hAnsi="Times New Roman" w:cs="Times New Roman"/>
                <w:sz w:val="18"/>
                <w:szCs w:val="18"/>
              </w:rPr>
              <w:t>t.y</w:t>
            </w:r>
            <w:proofErr w:type="spellEnd"/>
            <w:r w:rsidRPr="002E48B9">
              <w:rPr>
                <w:rFonts w:ascii="Times New Roman" w:hAnsi="Times New Roman" w:cs="Times New Roman"/>
                <w:sz w:val="18"/>
                <w:szCs w:val="18"/>
              </w:rPr>
              <w:t>. viršutinės ribos normos dydį, skaičiuojamą nuo garantuotos Portfelio sumos, didinti nuo 20% ik 40%;</w:t>
            </w:r>
          </w:p>
          <w:p w:rsidR="00422CE1" w:rsidRPr="002E48B9" w:rsidRDefault="00422CE1" w:rsidP="002E48B9">
            <w:pPr>
              <w:jc w:val="both"/>
              <w:rPr>
                <w:rFonts w:ascii="Times New Roman" w:hAnsi="Times New Roman" w:cs="Times New Roman"/>
                <w:sz w:val="18"/>
                <w:szCs w:val="18"/>
              </w:rPr>
            </w:pPr>
          </w:p>
        </w:tc>
        <w:tc>
          <w:tcPr>
            <w:tcW w:w="4820" w:type="dxa"/>
          </w:tcPr>
          <w:p w:rsidR="00422CE1" w:rsidRDefault="00422CE1" w:rsidP="00575D8E">
            <w:pPr>
              <w:jc w:val="both"/>
              <w:rPr>
                <w:rFonts w:ascii="Times New Roman" w:hAnsi="Times New Roman" w:cs="Times New Roman"/>
                <w:sz w:val="18"/>
                <w:szCs w:val="18"/>
              </w:rPr>
            </w:pPr>
            <w:r>
              <w:rPr>
                <w:rFonts w:ascii="Times New Roman" w:hAnsi="Times New Roman" w:cs="Times New Roman"/>
                <w:sz w:val="18"/>
                <w:szCs w:val="18"/>
              </w:rPr>
              <w:t>Neatsižvelgta</w:t>
            </w:r>
          </w:p>
          <w:p w:rsidR="00422CE1" w:rsidRDefault="00422CE1" w:rsidP="001106B6">
            <w:pPr>
              <w:jc w:val="both"/>
              <w:rPr>
                <w:rFonts w:ascii="Times New Roman" w:hAnsi="Times New Roman" w:cs="Times New Roman"/>
                <w:sz w:val="18"/>
                <w:szCs w:val="18"/>
              </w:rPr>
            </w:pPr>
          </w:p>
          <w:p w:rsidR="00422CE1" w:rsidRDefault="00422CE1" w:rsidP="001106B6">
            <w:pPr>
              <w:jc w:val="both"/>
              <w:rPr>
                <w:rFonts w:ascii="Times New Roman" w:hAnsi="Times New Roman" w:cs="Times New Roman"/>
                <w:sz w:val="18"/>
                <w:szCs w:val="18"/>
              </w:rPr>
            </w:pPr>
            <w:r>
              <w:rPr>
                <w:rFonts w:ascii="Times New Roman" w:hAnsi="Times New Roman" w:cs="Times New Roman"/>
                <w:sz w:val="18"/>
                <w:szCs w:val="18"/>
              </w:rPr>
              <w:t>PGF2 priemonė skirta finansuoti ekonomiškai gyvybingus verslus. Netgi atsižvelgiant į dabartinę rinkos situaciją, manome, kad viršutinės ribos normos dydis (cap rate) yra pakankamai didelis, kad faktoringo gavėjas galėtų finansuoti verslą padidintos rizikos aplinkoje</w:t>
            </w:r>
          </w:p>
        </w:tc>
      </w:tr>
      <w:tr w:rsidR="00422CE1" w:rsidRPr="00E751C4" w:rsidTr="00422CE1">
        <w:tc>
          <w:tcPr>
            <w:tcW w:w="562" w:type="dxa"/>
          </w:tcPr>
          <w:p w:rsidR="00422CE1" w:rsidRDefault="00422CE1" w:rsidP="002E48B9">
            <w:pPr>
              <w:jc w:val="both"/>
              <w:rPr>
                <w:rFonts w:ascii="Times New Roman" w:hAnsi="Times New Roman" w:cs="Times New Roman"/>
                <w:sz w:val="18"/>
                <w:szCs w:val="18"/>
              </w:rPr>
            </w:pPr>
            <w:r>
              <w:rPr>
                <w:rFonts w:ascii="Times New Roman" w:hAnsi="Times New Roman" w:cs="Times New Roman"/>
                <w:sz w:val="18"/>
                <w:szCs w:val="18"/>
              </w:rPr>
              <w:t>22.</w:t>
            </w:r>
          </w:p>
        </w:tc>
        <w:tc>
          <w:tcPr>
            <w:tcW w:w="4536" w:type="dxa"/>
          </w:tcPr>
          <w:p w:rsidR="00422CE1" w:rsidRPr="002E48B9" w:rsidRDefault="00422CE1" w:rsidP="002E48B9">
            <w:pPr>
              <w:jc w:val="both"/>
              <w:rPr>
                <w:rFonts w:ascii="Arial" w:hAnsi="Arial" w:cs="Arial"/>
                <w:color w:val="000000"/>
                <w:sz w:val="20"/>
                <w:szCs w:val="20"/>
              </w:rPr>
            </w:pPr>
          </w:p>
        </w:tc>
        <w:tc>
          <w:tcPr>
            <w:tcW w:w="4819" w:type="dxa"/>
          </w:tcPr>
          <w:p w:rsidR="00422CE1" w:rsidRPr="002E48B9" w:rsidRDefault="00422CE1" w:rsidP="002E48B9">
            <w:pPr>
              <w:jc w:val="both"/>
              <w:rPr>
                <w:rFonts w:ascii="Times New Roman" w:hAnsi="Times New Roman" w:cs="Times New Roman"/>
                <w:sz w:val="18"/>
                <w:szCs w:val="18"/>
              </w:rPr>
            </w:pPr>
            <w:r w:rsidRPr="002E48B9">
              <w:rPr>
                <w:rFonts w:ascii="Times New Roman" w:hAnsi="Times New Roman" w:cs="Times New Roman"/>
                <w:sz w:val="18"/>
                <w:szCs w:val="18"/>
              </w:rPr>
              <w:t xml:space="preserve">Sutarto Portfelio dydžio ir PGF2 priemonei įgyvendinti skirtų lėšų didinimas ir mažinimas: siūlytume trumpinti laiką, skiriamą Portfelio formavimui ir vertinti vėlavimą formuoti Portfelį kiekvieną ketvirtį, kad kiti priemonės valdytojai turėtų galimybę ta suma išplėsti tiek portfelio dydį, tiek garantijų sumą. </w:t>
            </w:r>
          </w:p>
          <w:p w:rsidR="00422CE1" w:rsidRPr="002E48B9" w:rsidRDefault="00422CE1" w:rsidP="002E48B9">
            <w:pPr>
              <w:jc w:val="both"/>
              <w:rPr>
                <w:rFonts w:ascii="Times New Roman" w:hAnsi="Times New Roman" w:cs="Times New Roman"/>
                <w:sz w:val="18"/>
                <w:szCs w:val="18"/>
              </w:rPr>
            </w:pPr>
          </w:p>
        </w:tc>
        <w:tc>
          <w:tcPr>
            <w:tcW w:w="4820" w:type="dxa"/>
          </w:tcPr>
          <w:p w:rsidR="00422CE1" w:rsidRDefault="00422CE1" w:rsidP="001106B6">
            <w:pPr>
              <w:jc w:val="both"/>
              <w:rPr>
                <w:rFonts w:ascii="Times New Roman" w:hAnsi="Times New Roman" w:cs="Times New Roman"/>
                <w:sz w:val="18"/>
                <w:szCs w:val="18"/>
              </w:rPr>
            </w:pPr>
            <w:r>
              <w:rPr>
                <w:rFonts w:ascii="Times New Roman" w:hAnsi="Times New Roman" w:cs="Times New Roman"/>
                <w:sz w:val="18"/>
                <w:szCs w:val="18"/>
              </w:rPr>
              <w:t>PGF2 priemonės sąlygose tai nėra aptariama. Portfeliui formuoti skirtos lėšų sumos padidinimo ar sumažinimo galimybė numatoma PGF2 priemonės įgyvendinimo sutartyje pasirašomoje su finansų tarpininku. Joje taip pat numatoma galimybė mažinti skirtą lėšų sumą, jeigu finansų tarpininkas vėluoja formuoti sutartą portfelį. Į Jūsų pastabą atsižvelgsime ir peržiūras darysime dažniau.</w:t>
            </w:r>
          </w:p>
        </w:tc>
      </w:tr>
    </w:tbl>
    <w:p w:rsidR="00BC5F1C" w:rsidRPr="00BC5F1C" w:rsidRDefault="00BC5F1C">
      <w:pPr>
        <w:rPr>
          <w:rFonts w:ascii="Times New Roman" w:hAnsi="Times New Roman" w:cs="Times New Roman"/>
        </w:rPr>
      </w:pPr>
    </w:p>
    <w:sectPr w:rsidR="00BC5F1C" w:rsidRPr="00BC5F1C" w:rsidSect="00BC5F1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2BB"/>
    <w:multiLevelType w:val="hybridMultilevel"/>
    <w:tmpl w:val="EE2A4F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1C"/>
    <w:rsid w:val="00042099"/>
    <w:rsid w:val="00080D5D"/>
    <w:rsid w:val="00095091"/>
    <w:rsid w:val="00105BBF"/>
    <w:rsid w:val="001106B6"/>
    <w:rsid w:val="00113BD9"/>
    <w:rsid w:val="00120C6A"/>
    <w:rsid w:val="001453EC"/>
    <w:rsid w:val="001D17BF"/>
    <w:rsid w:val="001E7788"/>
    <w:rsid w:val="002302AB"/>
    <w:rsid w:val="0023780E"/>
    <w:rsid w:val="002711F5"/>
    <w:rsid w:val="002861EB"/>
    <w:rsid w:val="002928C6"/>
    <w:rsid w:val="002A44CB"/>
    <w:rsid w:val="002E48B9"/>
    <w:rsid w:val="00313C25"/>
    <w:rsid w:val="00321555"/>
    <w:rsid w:val="003736D1"/>
    <w:rsid w:val="003930EA"/>
    <w:rsid w:val="003D60C2"/>
    <w:rsid w:val="004063F1"/>
    <w:rsid w:val="00416B83"/>
    <w:rsid w:val="00416E9D"/>
    <w:rsid w:val="00422CE1"/>
    <w:rsid w:val="0043272B"/>
    <w:rsid w:val="004361A2"/>
    <w:rsid w:val="00470282"/>
    <w:rsid w:val="00475D0C"/>
    <w:rsid w:val="004A7671"/>
    <w:rsid w:val="004C32B5"/>
    <w:rsid w:val="004E08B4"/>
    <w:rsid w:val="004E092E"/>
    <w:rsid w:val="004E72B7"/>
    <w:rsid w:val="004F2212"/>
    <w:rsid w:val="005163D4"/>
    <w:rsid w:val="005462F1"/>
    <w:rsid w:val="00575D8E"/>
    <w:rsid w:val="005B367D"/>
    <w:rsid w:val="005F28F4"/>
    <w:rsid w:val="0061330C"/>
    <w:rsid w:val="0066528B"/>
    <w:rsid w:val="006C5442"/>
    <w:rsid w:val="006D70EE"/>
    <w:rsid w:val="00711AAE"/>
    <w:rsid w:val="00723118"/>
    <w:rsid w:val="007B124A"/>
    <w:rsid w:val="008024B2"/>
    <w:rsid w:val="00832AA1"/>
    <w:rsid w:val="00893F62"/>
    <w:rsid w:val="008E35CC"/>
    <w:rsid w:val="008F4F40"/>
    <w:rsid w:val="008F5C6F"/>
    <w:rsid w:val="009001BB"/>
    <w:rsid w:val="0090364B"/>
    <w:rsid w:val="0091117F"/>
    <w:rsid w:val="009312FA"/>
    <w:rsid w:val="00942220"/>
    <w:rsid w:val="00977D67"/>
    <w:rsid w:val="009867FF"/>
    <w:rsid w:val="009A11E3"/>
    <w:rsid w:val="009B098B"/>
    <w:rsid w:val="009C28EE"/>
    <w:rsid w:val="009D736B"/>
    <w:rsid w:val="009E3E6E"/>
    <w:rsid w:val="009F4A33"/>
    <w:rsid w:val="00A3602B"/>
    <w:rsid w:val="00A40422"/>
    <w:rsid w:val="00A47CDD"/>
    <w:rsid w:val="00A871A6"/>
    <w:rsid w:val="00AB1850"/>
    <w:rsid w:val="00AD415F"/>
    <w:rsid w:val="00AD5317"/>
    <w:rsid w:val="00B04F35"/>
    <w:rsid w:val="00B10C87"/>
    <w:rsid w:val="00BB43E2"/>
    <w:rsid w:val="00BC5F1C"/>
    <w:rsid w:val="00BE78F2"/>
    <w:rsid w:val="00BF3A10"/>
    <w:rsid w:val="00C12A87"/>
    <w:rsid w:val="00C70DA0"/>
    <w:rsid w:val="00CE209D"/>
    <w:rsid w:val="00D60352"/>
    <w:rsid w:val="00D930AA"/>
    <w:rsid w:val="00DD4BA7"/>
    <w:rsid w:val="00DD5EF0"/>
    <w:rsid w:val="00DF41F0"/>
    <w:rsid w:val="00E01ECF"/>
    <w:rsid w:val="00E24173"/>
    <w:rsid w:val="00E35A4B"/>
    <w:rsid w:val="00E64588"/>
    <w:rsid w:val="00E751C4"/>
    <w:rsid w:val="00EE4AF7"/>
    <w:rsid w:val="00EF04D9"/>
    <w:rsid w:val="00F00B8A"/>
    <w:rsid w:val="00FB04C6"/>
    <w:rsid w:val="00FB1D42"/>
    <w:rsid w:val="00FC1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BDD5"/>
  <w15:docId w15:val="{5C12F954-E484-4374-860D-209B266A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BBF"/>
    <w:pPr>
      <w:ind w:left="720"/>
      <w:contextualSpacing/>
    </w:pPr>
  </w:style>
  <w:style w:type="character" w:styleId="CommentReference">
    <w:name w:val="annotation reference"/>
    <w:basedOn w:val="DefaultParagraphFont"/>
    <w:uiPriority w:val="99"/>
    <w:semiHidden/>
    <w:unhideWhenUsed/>
    <w:rsid w:val="005B367D"/>
    <w:rPr>
      <w:sz w:val="16"/>
      <w:szCs w:val="16"/>
    </w:rPr>
  </w:style>
  <w:style w:type="paragraph" w:styleId="CommentText">
    <w:name w:val="annotation text"/>
    <w:basedOn w:val="Normal"/>
    <w:link w:val="CommentTextChar"/>
    <w:uiPriority w:val="99"/>
    <w:semiHidden/>
    <w:unhideWhenUsed/>
    <w:rsid w:val="005B367D"/>
    <w:pPr>
      <w:spacing w:line="240" w:lineRule="auto"/>
    </w:pPr>
    <w:rPr>
      <w:sz w:val="20"/>
      <w:szCs w:val="20"/>
    </w:rPr>
  </w:style>
  <w:style w:type="character" w:customStyle="1" w:styleId="CommentTextChar">
    <w:name w:val="Comment Text Char"/>
    <w:basedOn w:val="DefaultParagraphFont"/>
    <w:link w:val="CommentText"/>
    <w:uiPriority w:val="99"/>
    <w:semiHidden/>
    <w:rsid w:val="005B367D"/>
    <w:rPr>
      <w:sz w:val="20"/>
      <w:szCs w:val="20"/>
    </w:rPr>
  </w:style>
  <w:style w:type="paragraph" w:styleId="CommentSubject">
    <w:name w:val="annotation subject"/>
    <w:basedOn w:val="CommentText"/>
    <w:next w:val="CommentText"/>
    <w:link w:val="CommentSubjectChar"/>
    <w:uiPriority w:val="99"/>
    <w:semiHidden/>
    <w:unhideWhenUsed/>
    <w:rsid w:val="005B367D"/>
    <w:rPr>
      <w:b/>
      <w:bCs/>
    </w:rPr>
  </w:style>
  <w:style w:type="character" w:customStyle="1" w:styleId="CommentSubjectChar">
    <w:name w:val="Comment Subject Char"/>
    <w:basedOn w:val="CommentTextChar"/>
    <w:link w:val="CommentSubject"/>
    <w:uiPriority w:val="99"/>
    <w:semiHidden/>
    <w:rsid w:val="005B367D"/>
    <w:rPr>
      <w:b/>
      <w:bCs/>
      <w:sz w:val="20"/>
      <w:szCs w:val="20"/>
    </w:rPr>
  </w:style>
  <w:style w:type="paragraph" w:styleId="BalloonText">
    <w:name w:val="Balloon Text"/>
    <w:basedOn w:val="Normal"/>
    <w:link w:val="BalloonTextChar"/>
    <w:uiPriority w:val="99"/>
    <w:semiHidden/>
    <w:unhideWhenUsed/>
    <w:rsid w:val="005B3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0160">
      <w:bodyDiv w:val="1"/>
      <w:marLeft w:val="0"/>
      <w:marRight w:val="0"/>
      <w:marTop w:val="0"/>
      <w:marBottom w:val="0"/>
      <w:divBdr>
        <w:top w:val="none" w:sz="0" w:space="0" w:color="auto"/>
        <w:left w:val="none" w:sz="0" w:space="0" w:color="auto"/>
        <w:bottom w:val="none" w:sz="0" w:space="0" w:color="auto"/>
        <w:right w:val="none" w:sz="0" w:space="0" w:color="auto"/>
      </w:divBdr>
    </w:div>
    <w:div w:id="508956258">
      <w:bodyDiv w:val="1"/>
      <w:marLeft w:val="0"/>
      <w:marRight w:val="0"/>
      <w:marTop w:val="0"/>
      <w:marBottom w:val="0"/>
      <w:divBdr>
        <w:top w:val="none" w:sz="0" w:space="0" w:color="auto"/>
        <w:left w:val="none" w:sz="0" w:space="0" w:color="auto"/>
        <w:bottom w:val="none" w:sz="0" w:space="0" w:color="auto"/>
        <w:right w:val="none" w:sz="0" w:space="0" w:color="auto"/>
      </w:divBdr>
    </w:div>
    <w:div w:id="510995012">
      <w:bodyDiv w:val="1"/>
      <w:marLeft w:val="0"/>
      <w:marRight w:val="0"/>
      <w:marTop w:val="0"/>
      <w:marBottom w:val="0"/>
      <w:divBdr>
        <w:top w:val="none" w:sz="0" w:space="0" w:color="auto"/>
        <w:left w:val="none" w:sz="0" w:space="0" w:color="auto"/>
        <w:bottom w:val="none" w:sz="0" w:space="0" w:color="auto"/>
        <w:right w:val="none" w:sz="0" w:space="0" w:color="auto"/>
      </w:divBdr>
    </w:div>
    <w:div w:id="598753589">
      <w:bodyDiv w:val="1"/>
      <w:marLeft w:val="0"/>
      <w:marRight w:val="0"/>
      <w:marTop w:val="0"/>
      <w:marBottom w:val="0"/>
      <w:divBdr>
        <w:top w:val="none" w:sz="0" w:space="0" w:color="auto"/>
        <w:left w:val="none" w:sz="0" w:space="0" w:color="auto"/>
        <w:bottom w:val="none" w:sz="0" w:space="0" w:color="auto"/>
        <w:right w:val="none" w:sz="0" w:space="0" w:color="auto"/>
      </w:divBdr>
    </w:div>
    <w:div w:id="601574910">
      <w:bodyDiv w:val="1"/>
      <w:marLeft w:val="0"/>
      <w:marRight w:val="0"/>
      <w:marTop w:val="0"/>
      <w:marBottom w:val="0"/>
      <w:divBdr>
        <w:top w:val="none" w:sz="0" w:space="0" w:color="auto"/>
        <w:left w:val="none" w:sz="0" w:space="0" w:color="auto"/>
        <w:bottom w:val="none" w:sz="0" w:space="0" w:color="auto"/>
        <w:right w:val="none" w:sz="0" w:space="0" w:color="auto"/>
      </w:divBdr>
    </w:div>
    <w:div w:id="736631315">
      <w:bodyDiv w:val="1"/>
      <w:marLeft w:val="0"/>
      <w:marRight w:val="0"/>
      <w:marTop w:val="0"/>
      <w:marBottom w:val="0"/>
      <w:divBdr>
        <w:top w:val="none" w:sz="0" w:space="0" w:color="auto"/>
        <w:left w:val="none" w:sz="0" w:space="0" w:color="auto"/>
        <w:bottom w:val="none" w:sz="0" w:space="0" w:color="auto"/>
        <w:right w:val="none" w:sz="0" w:space="0" w:color="auto"/>
      </w:divBdr>
      <w:divsChild>
        <w:div w:id="411925981">
          <w:marLeft w:val="0"/>
          <w:marRight w:val="0"/>
          <w:marTop w:val="0"/>
          <w:marBottom w:val="0"/>
          <w:divBdr>
            <w:top w:val="none" w:sz="0" w:space="0" w:color="auto"/>
            <w:left w:val="none" w:sz="0" w:space="0" w:color="auto"/>
            <w:bottom w:val="none" w:sz="0" w:space="0" w:color="auto"/>
            <w:right w:val="none" w:sz="0" w:space="0" w:color="auto"/>
          </w:divBdr>
          <w:divsChild>
            <w:div w:id="36204315">
              <w:marLeft w:val="0"/>
              <w:marRight w:val="0"/>
              <w:marTop w:val="0"/>
              <w:marBottom w:val="0"/>
              <w:divBdr>
                <w:top w:val="none" w:sz="0" w:space="0" w:color="auto"/>
                <w:left w:val="none" w:sz="0" w:space="0" w:color="auto"/>
                <w:bottom w:val="none" w:sz="0" w:space="0" w:color="auto"/>
                <w:right w:val="none" w:sz="0" w:space="0" w:color="auto"/>
              </w:divBdr>
            </w:div>
            <w:div w:id="2124762180">
              <w:marLeft w:val="0"/>
              <w:marRight w:val="0"/>
              <w:marTop w:val="0"/>
              <w:marBottom w:val="0"/>
              <w:divBdr>
                <w:top w:val="none" w:sz="0" w:space="0" w:color="auto"/>
                <w:left w:val="none" w:sz="0" w:space="0" w:color="auto"/>
                <w:bottom w:val="none" w:sz="0" w:space="0" w:color="auto"/>
                <w:right w:val="none" w:sz="0" w:space="0" w:color="auto"/>
              </w:divBdr>
            </w:div>
            <w:div w:id="1751539970">
              <w:marLeft w:val="0"/>
              <w:marRight w:val="0"/>
              <w:marTop w:val="0"/>
              <w:marBottom w:val="0"/>
              <w:divBdr>
                <w:top w:val="none" w:sz="0" w:space="0" w:color="auto"/>
                <w:left w:val="none" w:sz="0" w:space="0" w:color="auto"/>
                <w:bottom w:val="none" w:sz="0" w:space="0" w:color="auto"/>
                <w:right w:val="none" w:sz="0" w:space="0" w:color="auto"/>
              </w:divBdr>
            </w:div>
            <w:div w:id="902376865">
              <w:marLeft w:val="0"/>
              <w:marRight w:val="0"/>
              <w:marTop w:val="0"/>
              <w:marBottom w:val="0"/>
              <w:divBdr>
                <w:top w:val="none" w:sz="0" w:space="0" w:color="auto"/>
                <w:left w:val="none" w:sz="0" w:space="0" w:color="auto"/>
                <w:bottom w:val="none" w:sz="0" w:space="0" w:color="auto"/>
                <w:right w:val="none" w:sz="0" w:space="0" w:color="auto"/>
              </w:divBdr>
            </w:div>
          </w:divsChild>
        </w:div>
        <w:div w:id="630214973">
          <w:marLeft w:val="0"/>
          <w:marRight w:val="0"/>
          <w:marTop w:val="0"/>
          <w:marBottom w:val="0"/>
          <w:divBdr>
            <w:top w:val="none" w:sz="0" w:space="0" w:color="auto"/>
            <w:left w:val="none" w:sz="0" w:space="0" w:color="auto"/>
            <w:bottom w:val="none" w:sz="0" w:space="0" w:color="auto"/>
            <w:right w:val="none" w:sz="0" w:space="0" w:color="auto"/>
          </w:divBdr>
        </w:div>
      </w:divsChild>
    </w:div>
    <w:div w:id="7835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9838</Words>
  <Characters>5608</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Šveikauskienė</dc:creator>
  <cp:keywords/>
  <dc:description/>
  <cp:lastModifiedBy>Vilija Šveikauskienė</cp:lastModifiedBy>
  <cp:revision>4</cp:revision>
  <dcterms:created xsi:type="dcterms:W3CDTF">2020-03-30T12:02:00Z</dcterms:created>
  <dcterms:modified xsi:type="dcterms:W3CDTF">2020-03-30T12:32:00Z</dcterms:modified>
</cp:coreProperties>
</file>